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717540E3"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#123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2A07D8" w:rsidRPr="002A07D8">
        <w:rPr>
          <w:b/>
          <w:bCs/>
          <w:noProof/>
          <w:sz w:val="24"/>
          <w:lang w:val="en-US"/>
        </w:rPr>
        <w:t>2509111</w:t>
      </w:r>
      <w:r>
        <w:rPr>
          <w:b/>
          <w:i/>
          <w:noProof/>
          <w:sz w:val="28"/>
        </w:rPr>
        <w:tab/>
      </w:r>
    </w:p>
    <w:p w14:paraId="7DE0A934" w14:textId="77777777" w:rsidR="007E244C" w:rsidRPr="009E56BE" w:rsidRDefault="007E244C" w:rsidP="007E244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Dallas, USA, Nov</w:t>
      </w:r>
      <w:r w:rsidRPr="009E56BE">
        <w:rPr>
          <w:rFonts w:ascii="Arial" w:eastAsia="MS Mincho" w:hAnsi="Arial" w:cs="Arial"/>
          <w:b/>
          <w:bCs/>
          <w:szCs w:val="22"/>
          <w:lang w:val="en-GB"/>
        </w:rPr>
        <w:t xml:space="preserve"> </w:t>
      </w:r>
      <w:r>
        <w:rPr>
          <w:rFonts w:ascii="Arial" w:eastAsia="MS Mincho" w:hAnsi="Arial" w:cs="Arial"/>
          <w:b/>
          <w:bCs/>
          <w:szCs w:val="22"/>
          <w:lang w:val="en-GB"/>
        </w:rPr>
        <w:t>17</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21</w:t>
      </w:r>
      <w:r>
        <w:rPr>
          <w:rFonts w:ascii="Arial" w:eastAsia="MS Mincho" w:hAnsi="Arial" w:cs="Arial"/>
          <w:b/>
          <w:bCs/>
          <w:szCs w:val="22"/>
          <w:vertAlign w:val="superscript"/>
          <w:lang w:val="en-GB"/>
        </w:rPr>
        <w:t>st</w:t>
      </w:r>
      <w:r w:rsidRPr="009E56BE">
        <w:rPr>
          <w:rFonts w:ascii="Arial" w:eastAsia="MS Mincho" w:hAnsi="Arial" w:cs="Arial"/>
          <w:b/>
          <w:bCs/>
          <w:szCs w:val="22"/>
          <w:lang w:val="en-GB"/>
        </w:rPr>
        <w:t>, 202</w:t>
      </w:r>
      <w:r>
        <w:rPr>
          <w:rFonts w:ascii="Arial" w:eastAsia="MS Mincho" w:hAnsi="Arial" w:cs="Arial"/>
          <w:b/>
          <w:bCs/>
          <w:szCs w:val="22"/>
          <w:lang w:val="en-GB"/>
        </w:rPr>
        <w:t>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A81672C"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11</w:t>
      </w:r>
      <w:r w:rsidR="00652261">
        <w:rPr>
          <w:sz w:val="22"/>
          <w:szCs w:val="22"/>
        </w:rPr>
        <w:t>.3</w:t>
      </w:r>
      <w:r w:rsidR="00050F90">
        <w:rPr>
          <w:sz w:val="22"/>
          <w:szCs w:val="22"/>
        </w:rPr>
        <w:t>.</w:t>
      </w:r>
      <w:r w:rsidR="0022410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D5C986A" w:rsidR="00B23EB7" w:rsidRDefault="00B23EB7" w:rsidP="00B23EB7">
      <w:pPr>
        <w:pStyle w:val="3GPPHeader"/>
        <w:rPr>
          <w:sz w:val="22"/>
          <w:szCs w:val="22"/>
        </w:rPr>
      </w:pPr>
      <w:r w:rsidRPr="00315C6E">
        <w:rPr>
          <w:sz w:val="22"/>
          <w:szCs w:val="22"/>
        </w:rPr>
        <w:t>Title:</w:t>
      </w:r>
      <w:r w:rsidRPr="00315C6E">
        <w:rPr>
          <w:sz w:val="22"/>
          <w:szCs w:val="22"/>
        </w:rPr>
        <w:tab/>
      </w:r>
      <w:r w:rsidR="00527F45" w:rsidRPr="00527F45">
        <w:rPr>
          <w:sz w:val="22"/>
          <w:szCs w:val="22"/>
        </w:rPr>
        <w:t>Numerology and frame structure for 6GR air interface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1B16C0C8" w14:textId="0C768003" w:rsidR="00FC7E84" w:rsidRDefault="00FC7E84" w:rsidP="00FC7E84">
      <w:pPr>
        <w:pStyle w:val="0Maintext"/>
        <w:spacing w:after="120" w:afterAutospacing="0" w:line="240" w:lineRule="auto"/>
        <w:ind w:firstLine="0"/>
        <w:rPr>
          <w:lang w:val="en-US"/>
        </w:rPr>
      </w:pPr>
      <w:r>
        <w:rPr>
          <w:lang w:val="en-US"/>
        </w:rPr>
        <w:t xml:space="preserve">In Rel-20, a new SID was approved in </w:t>
      </w:r>
      <w:r w:rsidRPr="00455D52">
        <w:rPr>
          <w:lang w:val="en-US"/>
        </w:rPr>
        <w:t>RP-2518</w:t>
      </w:r>
      <w:r>
        <w:rPr>
          <w:lang w:val="en-US"/>
        </w:rPr>
        <w:t>81</w:t>
      </w:r>
      <w:r w:rsidRPr="00455D52">
        <w:rPr>
          <w:lang w:val="en-US"/>
        </w:rPr>
        <w:t xml:space="preserve"> </w:t>
      </w:r>
      <w:r>
        <w:rPr>
          <w:lang w:val="en-US"/>
        </w:rPr>
        <w:t xml:space="preserve">[1] to study 6G radio, with one of the objectives </w:t>
      </w:r>
      <w:r w:rsidR="00A55C8C">
        <w:rPr>
          <w:lang w:val="en-US"/>
        </w:rPr>
        <w:t xml:space="preserve">to be </w:t>
      </w:r>
      <w:r>
        <w:rPr>
          <w:lang w:val="en-US"/>
        </w:rPr>
        <w:t xml:space="preserve">Physical Layer structure for 6GR, as follows: </w:t>
      </w:r>
    </w:p>
    <w:p w14:paraId="52EE7B44" w14:textId="77777777" w:rsidR="00FC7E84" w:rsidRDefault="00FC7E84" w:rsidP="00FC7E84">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C7E84" w14:paraId="783BFCBC" w14:textId="77777777" w:rsidTr="008D6102">
        <w:tc>
          <w:tcPr>
            <w:tcW w:w="9350" w:type="dxa"/>
          </w:tcPr>
          <w:p w14:paraId="2834851E" w14:textId="77777777" w:rsidR="00FC7E84" w:rsidRPr="00934C60" w:rsidRDefault="00FC7E84" w:rsidP="00FC7E84">
            <w:pPr>
              <w:pStyle w:val="ListParagraph"/>
              <w:numPr>
                <w:ilvl w:val="0"/>
                <w:numId w:val="7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01E393DD"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Waveforms (OFDM-based) and modulations. 5G NR Waveforms and modulation should be considered for 6GR and is also the benchmark for other potential proposals. [RAN1, RAN4]</w:t>
            </w:r>
          </w:p>
          <w:p w14:paraId="12AC2F19"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72979332"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Channel coding, using LDPC and Polar Code as baseline, considering applicable extensions to satisfy 6G requirements and characteristics with acceptable performance/complexity trade-off [RAN1]</w:t>
            </w:r>
          </w:p>
          <w:p w14:paraId="3BF6D016"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0699BDA1"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Physical layer control, data scheduling and HARQ operation [RAN1, RAN2]</w:t>
            </w:r>
          </w:p>
          <w:p w14:paraId="530C709A"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MIMO operation [RAN1, RAN4]</w:t>
            </w:r>
          </w:p>
          <w:p w14:paraId="1F4896BE"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 xml:space="preserve">Duplexing [RAN1, RAN4] </w:t>
            </w:r>
          </w:p>
          <w:p w14:paraId="3ECBC5D9"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Initial access [RAN1, RAN2, RAN4]</w:t>
            </w:r>
          </w:p>
          <w:p w14:paraId="2A71F2F8"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synchronization signal and raster, broadcast signals/channel and physical </w:t>
            </w:r>
            <w:proofErr w:type="gramStart"/>
            <w:r w:rsidRPr="00FC7E84">
              <w:rPr>
                <w:color w:val="808080" w:themeColor="background1" w:themeShade="80"/>
              </w:rPr>
              <w:t>random access</w:t>
            </w:r>
            <w:proofErr w:type="gramEnd"/>
            <w:r w:rsidRPr="00FC7E84">
              <w:rPr>
                <w:color w:val="808080" w:themeColor="background1" w:themeShade="80"/>
              </w:rPr>
              <w:t xml:space="preserve"> channel [RAN1, RAN4]</w:t>
            </w:r>
          </w:p>
          <w:p w14:paraId="7082E577"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initial access procedure, random access procedures, system information and paging [RAN2, RAN1, RAN4]   </w:t>
            </w:r>
          </w:p>
          <w:p w14:paraId="68A9EA1C"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6GR spectrum utilization and aggregation.  [RAN1, RAN2, RAN4]</w:t>
            </w:r>
          </w:p>
          <w:p w14:paraId="598712F4"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Other physical layer signals, channels and procedures [RAN1, RAN2, RAN4]</w:t>
            </w:r>
          </w:p>
          <w:p w14:paraId="2DEF123A" w14:textId="77777777" w:rsidR="00FC7E84" w:rsidRPr="00FC7E84" w:rsidRDefault="00FC7E84" w:rsidP="00FC7E84">
            <w:pPr>
              <w:pStyle w:val="ListParagraph"/>
              <w:numPr>
                <w:ilvl w:val="1"/>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color w:val="808080" w:themeColor="background1" w:themeShade="80"/>
              </w:rPr>
              <w:t>Evaluate performance of at least energy efficiency, spectrum efficiency, and coverage compared to 5G NR, and deliver the initial result at the end of study [RAN</w:t>
            </w:r>
            <w:r w:rsidRPr="00FC7E84">
              <w:rPr>
                <w:rFonts w:hint="eastAsia"/>
                <w:color w:val="808080" w:themeColor="background1" w:themeShade="80"/>
                <w:lang w:eastAsia="ja-JP"/>
              </w:rPr>
              <w:t>1</w:t>
            </w:r>
            <w:r w:rsidRPr="00FC7E84">
              <w:rPr>
                <w:color w:val="808080" w:themeColor="background1" w:themeShade="80"/>
              </w:rPr>
              <w:t>].</w:t>
            </w:r>
          </w:p>
          <w:p w14:paraId="479B1103" w14:textId="77777777" w:rsidR="00FC7E84" w:rsidRPr="00FC7E84" w:rsidRDefault="00FC7E84" w:rsidP="00FC7E84">
            <w:pPr>
              <w:pStyle w:val="ListParagraph"/>
              <w:numPr>
                <w:ilvl w:val="2"/>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rFonts w:hint="eastAsia"/>
                <w:color w:val="808080" w:themeColor="background1" w:themeShade="80"/>
                <w:lang w:eastAsia="ja-JP"/>
              </w:rPr>
              <w:t>RAN4 can be involved, if necessary, based on the LS from RAN1</w:t>
            </w:r>
          </w:p>
          <w:p w14:paraId="6100D6C4" w14:textId="39756C6E" w:rsidR="00FC7E84" w:rsidRPr="001A01A3" w:rsidRDefault="00FC7E84" w:rsidP="00FC7E84">
            <w:pPr>
              <w:snapToGrid w:val="0"/>
            </w:pPr>
          </w:p>
        </w:tc>
      </w:tr>
    </w:tbl>
    <w:p w14:paraId="5BFE5E52" w14:textId="77777777" w:rsidR="00923E3C" w:rsidRDefault="00923E3C" w:rsidP="00FC7E84">
      <w:pPr>
        <w:pStyle w:val="0Maintext"/>
        <w:spacing w:after="120" w:afterAutospacing="0" w:line="240" w:lineRule="auto"/>
        <w:ind w:firstLine="0"/>
        <w:rPr>
          <w:lang w:val="en-US"/>
        </w:rPr>
      </w:pPr>
    </w:p>
    <w:p w14:paraId="65A3E868" w14:textId="4379C180" w:rsidR="008D7F1B" w:rsidRPr="00FC7E84" w:rsidRDefault="00FC7E84" w:rsidP="00FC7E84">
      <w:pPr>
        <w:pStyle w:val="0Maintext"/>
        <w:spacing w:after="120" w:afterAutospacing="0" w:line="240" w:lineRule="auto"/>
        <w:ind w:firstLine="0"/>
        <w:rPr>
          <w:lang w:val="en-US"/>
        </w:rPr>
      </w:pPr>
      <w:r>
        <w:rPr>
          <w:lang w:val="en-US"/>
        </w:rPr>
        <w:t>In this contribution, we provide our views on Numerology and Frame structure in 6GR.</w:t>
      </w:r>
    </w:p>
    <w:p w14:paraId="409BEA64" w14:textId="4D912E8F" w:rsidR="007E5BE2" w:rsidRDefault="00D67A1F" w:rsidP="00A90AB8">
      <w:pPr>
        <w:pStyle w:val="Heading1"/>
      </w:pPr>
      <w:r>
        <w:t>Numerology</w:t>
      </w:r>
      <w:r w:rsidR="0070619D">
        <w:t xml:space="preserve"> and Channel Bandwidth</w:t>
      </w:r>
    </w:p>
    <w:p w14:paraId="01124FD7" w14:textId="77777777" w:rsidR="00923E3C" w:rsidRDefault="00D67A1F" w:rsidP="00426462">
      <w:pPr>
        <w:jc w:val="both"/>
        <w:rPr>
          <w:sz w:val="20"/>
          <w:szCs w:val="20"/>
        </w:rPr>
      </w:pPr>
      <w:r>
        <w:rPr>
          <w:sz w:val="20"/>
          <w:szCs w:val="20"/>
        </w:rPr>
        <w:t>In</w:t>
      </w:r>
      <w:r w:rsidR="00923E3C">
        <w:rPr>
          <w:sz w:val="20"/>
          <w:szCs w:val="20"/>
        </w:rPr>
        <w:t xml:space="preserve"> RAN1#122, it was agreed that</w:t>
      </w:r>
    </w:p>
    <w:p w14:paraId="368DADF1" w14:textId="77777777" w:rsidR="00923E3C" w:rsidRPr="00923E3C" w:rsidRDefault="00923E3C" w:rsidP="00923E3C">
      <w:pPr>
        <w:rPr>
          <w:rFonts w:eastAsia="DengXian"/>
          <w:sz w:val="20"/>
          <w:szCs w:val="20"/>
          <w:highlight w:val="green"/>
          <w:lang w:eastAsia="zh-CN"/>
        </w:rPr>
      </w:pPr>
      <w:r w:rsidRPr="00923E3C">
        <w:rPr>
          <w:rFonts w:eastAsia="DengXian"/>
          <w:sz w:val="20"/>
          <w:szCs w:val="20"/>
          <w:highlight w:val="green"/>
          <w:lang w:eastAsia="zh-CN"/>
        </w:rPr>
        <w:t>Agreement</w:t>
      </w:r>
    </w:p>
    <w:p w14:paraId="7456D14A" w14:textId="77777777" w:rsidR="00923E3C" w:rsidRPr="00923E3C" w:rsidRDefault="00923E3C" w:rsidP="00923E3C">
      <w:pPr>
        <w:pStyle w:val="ListParagraph"/>
        <w:numPr>
          <w:ilvl w:val="0"/>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 xml:space="preserve">6GR takes the following SCS as start point for discussion for all the signals/channels except PRACH. </w:t>
      </w:r>
    </w:p>
    <w:p w14:paraId="41A7E7EA"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For sub 6GHz</w:t>
      </w:r>
    </w:p>
    <w:p w14:paraId="6178C25D"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is at least supported</w:t>
      </w:r>
    </w:p>
    <w:p w14:paraId="70C55920"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15kHz SCS for FDD, 30kHz SCS for TDD</w:t>
      </w:r>
    </w:p>
    <w:p w14:paraId="5DF91DAE"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30kHz SCS for FDD for around e.g., 1-2.5GHz</w:t>
      </w:r>
    </w:p>
    <w:p w14:paraId="38F47C32"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lastRenderedPageBreak/>
        <w:t>FFS: 7.5kHz SCS for sub1GHz (FDD)</w:t>
      </w:r>
    </w:p>
    <w:p w14:paraId="164D57CB"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Whether to discuss the FFS will be subject to RANP decision.</w:t>
      </w:r>
    </w:p>
    <w:p w14:paraId="302DC11E"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For around 7GHz</w:t>
      </w:r>
    </w:p>
    <w:p w14:paraId="6656627B"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options can be studied</w:t>
      </w:r>
    </w:p>
    <w:p w14:paraId="1B0CE692"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30kHz, 60kHz</w:t>
      </w:r>
    </w:p>
    <w:p w14:paraId="58F6395E"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For around 15GHz</w:t>
      </w:r>
    </w:p>
    <w:p w14:paraId="7903AC2D"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options can be studied</w:t>
      </w:r>
    </w:p>
    <w:p w14:paraId="1CF1432B"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 xml:space="preserve">30kHz, 60kHz, 120kHz </w:t>
      </w:r>
    </w:p>
    <w:p w14:paraId="6EAA9605"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Whether to discuss it will be subject to RANP decision</w:t>
      </w:r>
    </w:p>
    <w:p w14:paraId="214A3002"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For between 24.25GHz - 52.6GHz</w:t>
      </w:r>
    </w:p>
    <w:p w14:paraId="36208FAC"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Subcarrier spacing 120kHz is supported</w:t>
      </w:r>
    </w:p>
    <w:p w14:paraId="1A349640"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whether to allow using additional subcarrier spacing for SSB</w:t>
      </w:r>
    </w:p>
    <w:p w14:paraId="6E74C3C7" w14:textId="77777777" w:rsidR="00923E3C" w:rsidRPr="00923E3C" w:rsidRDefault="00923E3C" w:rsidP="00923E3C">
      <w:pPr>
        <w:pStyle w:val="ListParagraph"/>
        <w:numPr>
          <w:ilvl w:val="0"/>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subcarrier spacing for PRACH and up to initial access discussion.</w:t>
      </w:r>
    </w:p>
    <w:p w14:paraId="32FB0E82" w14:textId="5DA7952A" w:rsidR="00923E3C" w:rsidRDefault="00D67A1F" w:rsidP="00426462">
      <w:pPr>
        <w:jc w:val="both"/>
        <w:rPr>
          <w:sz w:val="20"/>
          <w:szCs w:val="20"/>
        </w:rPr>
      </w:pPr>
      <w:r>
        <w:rPr>
          <w:sz w:val="20"/>
          <w:szCs w:val="20"/>
        </w:rPr>
        <w:t xml:space="preserve"> </w:t>
      </w:r>
    </w:p>
    <w:p w14:paraId="14508351" w14:textId="2ED1864E" w:rsidR="00923E3C" w:rsidRDefault="00D73265" w:rsidP="00426462">
      <w:pPr>
        <w:jc w:val="both"/>
        <w:rPr>
          <w:sz w:val="20"/>
          <w:szCs w:val="20"/>
        </w:rPr>
      </w:pPr>
      <w:r>
        <w:rPr>
          <w:sz w:val="20"/>
          <w:szCs w:val="20"/>
        </w:rPr>
        <w:t>For sub-6GHz, based</w:t>
      </w:r>
      <w:r w:rsidR="00AF40A0">
        <w:rPr>
          <w:sz w:val="20"/>
          <w:szCs w:val="20"/>
        </w:rPr>
        <w:t xml:space="preserve"> on</w:t>
      </w:r>
      <w:r w:rsidR="00923E3C">
        <w:rPr>
          <w:sz w:val="20"/>
          <w:szCs w:val="20"/>
        </w:rPr>
        <w:t xml:space="preserve"> the discussions made in RAN#109, </w:t>
      </w:r>
      <w:r w:rsidR="00AF40A0">
        <w:rPr>
          <w:sz w:val="20"/>
          <w:szCs w:val="20"/>
        </w:rPr>
        <w:t>the following is achieved which addresses FFSs for sub-6GHz</w:t>
      </w:r>
    </w:p>
    <w:p w14:paraId="2E94D593" w14:textId="77777777" w:rsidR="00923E3C" w:rsidRPr="00923E3C" w:rsidRDefault="00923E3C" w:rsidP="00556260">
      <w:pPr>
        <w:numPr>
          <w:ilvl w:val="0"/>
          <w:numId w:val="82"/>
        </w:numPr>
        <w:jc w:val="both"/>
        <w:rPr>
          <w:sz w:val="20"/>
          <w:szCs w:val="20"/>
        </w:rPr>
      </w:pPr>
      <w:r w:rsidRPr="00923E3C">
        <w:rPr>
          <w:sz w:val="20"/>
          <w:szCs w:val="20"/>
        </w:rPr>
        <w:t>RAN1 will suspend the discussion on second numerology for FDD frequency, i.e., RAN1 will not discuss the two “FFS” of “for sub 6GHz” in Q4, 2025.</w:t>
      </w:r>
    </w:p>
    <w:p w14:paraId="45F7F0CB" w14:textId="77777777" w:rsidR="00923E3C" w:rsidRDefault="00923E3C" w:rsidP="00426462">
      <w:pPr>
        <w:jc w:val="both"/>
        <w:rPr>
          <w:sz w:val="20"/>
          <w:szCs w:val="20"/>
        </w:rPr>
      </w:pPr>
    </w:p>
    <w:p w14:paraId="01D06035" w14:textId="77777777" w:rsidR="00D73265" w:rsidRDefault="00D73265" w:rsidP="00556260">
      <w:pPr>
        <w:jc w:val="both"/>
        <w:rPr>
          <w:sz w:val="20"/>
          <w:szCs w:val="20"/>
        </w:rPr>
      </w:pPr>
    </w:p>
    <w:p w14:paraId="3A7E7830" w14:textId="371A2A2A" w:rsidR="00556260" w:rsidRDefault="00CF2AAB" w:rsidP="00556260">
      <w:pPr>
        <w:jc w:val="both"/>
        <w:rPr>
          <w:sz w:val="20"/>
          <w:szCs w:val="20"/>
        </w:rPr>
      </w:pPr>
      <w:r>
        <w:rPr>
          <w:sz w:val="20"/>
          <w:szCs w:val="20"/>
        </w:rPr>
        <w:t xml:space="preserve">For around 7GHz, </w:t>
      </w:r>
      <w:r w:rsidR="00556260">
        <w:rPr>
          <w:sz w:val="20"/>
          <w:szCs w:val="20"/>
        </w:rPr>
        <w:t>the following is agreed in RAN1#122b</w:t>
      </w:r>
    </w:p>
    <w:p w14:paraId="74F0E611" w14:textId="77777777" w:rsidR="00D73265" w:rsidRDefault="00D73265" w:rsidP="00556260">
      <w:pPr>
        <w:jc w:val="both"/>
        <w:rPr>
          <w:sz w:val="20"/>
          <w:szCs w:val="20"/>
        </w:rPr>
      </w:pPr>
    </w:p>
    <w:p w14:paraId="08C928ED" w14:textId="77777777" w:rsidR="00D73265" w:rsidRPr="00D73265" w:rsidRDefault="00D73265" w:rsidP="00D73265">
      <w:pPr>
        <w:rPr>
          <w:rFonts w:eastAsiaTheme="minorEastAsia"/>
          <w:sz w:val="20"/>
          <w:szCs w:val="20"/>
          <w:highlight w:val="green"/>
          <w:lang w:eastAsia="zh-CN"/>
        </w:rPr>
      </w:pPr>
      <w:r w:rsidRPr="00D73265">
        <w:rPr>
          <w:rFonts w:eastAsiaTheme="minorEastAsia"/>
          <w:sz w:val="20"/>
          <w:szCs w:val="20"/>
          <w:highlight w:val="green"/>
          <w:lang w:eastAsia="zh-CN"/>
        </w:rPr>
        <w:t>Agreement</w:t>
      </w:r>
    </w:p>
    <w:p w14:paraId="2833C4BF" w14:textId="77777777" w:rsidR="00D73265" w:rsidRPr="00D73265" w:rsidRDefault="00D73265" w:rsidP="00D73265">
      <w:pPr>
        <w:pStyle w:val="ListParagraph"/>
        <w:numPr>
          <w:ilvl w:val="0"/>
          <w:numId w:val="84"/>
        </w:numPr>
        <w:ind w:leftChars="0"/>
        <w:rPr>
          <w:rFonts w:ascii="Times New Roman" w:eastAsiaTheme="minorEastAsia" w:hAnsi="Times New Roman"/>
          <w:szCs w:val="20"/>
          <w:lang w:eastAsia="zh-CN"/>
        </w:rPr>
      </w:pPr>
      <w:r w:rsidRPr="00D73265">
        <w:rPr>
          <w:rFonts w:ascii="Times New Roman" w:eastAsiaTheme="minorEastAsia" w:hAnsi="Times New Roman"/>
          <w:szCs w:val="20"/>
          <w:lang w:eastAsia="zh-CN"/>
        </w:rPr>
        <w:t xml:space="preserve">RAN1 assumes </w:t>
      </w:r>
      <w:r w:rsidRPr="00D73265">
        <w:rPr>
          <w:rFonts w:ascii="Times New Roman" w:eastAsiaTheme="minorEastAsia" w:hAnsi="Times New Roman"/>
          <w:szCs w:val="20"/>
          <w:lang w:val="en-US" w:eastAsia="zh-CN"/>
        </w:rPr>
        <w:t xml:space="preserve">400MHz </w:t>
      </w:r>
      <w:r w:rsidRPr="00D73265">
        <w:rPr>
          <w:rFonts w:ascii="Times New Roman" w:eastAsiaTheme="minorEastAsia" w:hAnsi="Times New Roman"/>
          <w:szCs w:val="20"/>
          <w:lang w:eastAsia="zh-CN"/>
        </w:rPr>
        <w:t>maximum channel bandwidth</w:t>
      </w:r>
      <w:r w:rsidRPr="00D73265">
        <w:rPr>
          <w:rFonts w:ascii="Times New Roman" w:eastAsiaTheme="minorEastAsia" w:hAnsi="Times New Roman"/>
          <w:szCs w:val="20"/>
          <w:lang w:val="en-US" w:eastAsia="zh-CN"/>
        </w:rPr>
        <w:t xml:space="preserve"> </w:t>
      </w:r>
      <w:r w:rsidRPr="00D73265">
        <w:rPr>
          <w:rFonts w:ascii="Times New Roman" w:eastAsiaTheme="minorEastAsia" w:hAnsi="Times New Roman"/>
          <w:szCs w:val="20"/>
          <w:lang w:eastAsia="zh-CN"/>
        </w:rPr>
        <w:t>at network side</w:t>
      </w:r>
      <w:r w:rsidRPr="00D73265">
        <w:rPr>
          <w:rFonts w:ascii="Times New Roman" w:eastAsiaTheme="minorEastAsia" w:hAnsi="Times New Roman"/>
          <w:szCs w:val="20"/>
          <w:lang w:val="en-US" w:eastAsia="zh-CN"/>
        </w:rPr>
        <w:t xml:space="preserve"> and 30kHz SCS</w:t>
      </w:r>
      <w:r w:rsidRPr="00D73265">
        <w:rPr>
          <w:rFonts w:ascii="Times New Roman" w:eastAsiaTheme="minorEastAsia" w:hAnsi="Times New Roman"/>
          <w:szCs w:val="20"/>
          <w:lang w:eastAsia="zh-CN"/>
        </w:rPr>
        <w:t xml:space="preserve"> </w:t>
      </w:r>
      <w:r w:rsidRPr="00D73265">
        <w:rPr>
          <w:rFonts w:ascii="Times New Roman" w:eastAsiaTheme="minorEastAsia" w:hAnsi="Times New Roman"/>
          <w:szCs w:val="20"/>
          <w:lang w:val="en-US" w:eastAsia="zh-CN"/>
        </w:rPr>
        <w:t>around 7GHz</w:t>
      </w:r>
      <w:r w:rsidRPr="00D73265">
        <w:rPr>
          <w:rFonts w:ascii="Times New Roman" w:eastAsiaTheme="minorEastAsia" w:hAnsi="Times New Roman"/>
          <w:szCs w:val="20"/>
          <w:lang w:eastAsia="zh-CN"/>
        </w:rPr>
        <w:t xml:space="preserve"> </w:t>
      </w:r>
    </w:p>
    <w:p w14:paraId="650F9326" w14:textId="77777777" w:rsidR="00D73265" w:rsidRPr="00D73265" w:rsidRDefault="00D73265" w:rsidP="00D73265">
      <w:pPr>
        <w:pStyle w:val="ListParagraph"/>
        <w:numPr>
          <w:ilvl w:val="0"/>
          <w:numId w:val="85"/>
        </w:numPr>
        <w:ind w:leftChars="0"/>
        <w:rPr>
          <w:rFonts w:ascii="Times New Roman" w:eastAsiaTheme="minorEastAsia" w:hAnsi="Times New Roman"/>
          <w:szCs w:val="20"/>
          <w:lang w:val="en-US" w:eastAsia="zh-CN"/>
        </w:rPr>
      </w:pPr>
      <w:r w:rsidRPr="00D73265">
        <w:rPr>
          <w:rFonts w:ascii="Times New Roman" w:eastAsiaTheme="minorEastAsia" w:hAnsi="Times New Roman"/>
          <w:szCs w:val="20"/>
          <w:lang w:val="en-US" w:eastAsia="zh-CN"/>
        </w:rPr>
        <w:t xml:space="preserve">Study whether and how to enable UE to support 400MHz bandwidth </w:t>
      </w:r>
    </w:p>
    <w:p w14:paraId="3F80E57B" w14:textId="77777777" w:rsidR="00556260" w:rsidRDefault="00556260" w:rsidP="00556260">
      <w:pPr>
        <w:jc w:val="both"/>
        <w:rPr>
          <w:sz w:val="20"/>
          <w:szCs w:val="20"/>
        </w:rPr>
      </w:pPr>
    </w:p>
    <w:p w14:paraId="0A669300" w14:textId="0EFA646A" w:rsidR="00A55C8C" w:rsidRDefault="00D73265" w:rsidP="00556260">
      <w:pPr>
        <w:jc w:val="both"/>
        <w:rPr>
          <w:sz w:val="20"/>
          <w:szCs w:val="20"/>
        </w:rPr>
      </w:pPr>
      <w:r>
        <w:rPr>
          <w:sz w:val="20"/>
          <w:szCs w:val="20"/>
        </w:rPr>
        <w:t xml:space="preserve">Based on the above agreement, </w:t>
      </w:r>
      <w:r w:rsidR="00556260">
        <w:rPr>
          <w:sz w:val="20"/>
          <w:szCs w:val="20"/>
        </w:rPr>
        <w:t xml:space="preserve">SCS </w:t>
      </w:r>
      <w:r>
        <w:rPr>
          <w:sz w:val="20"/>
          <w:szCs w:val="20"/>
        </w:rPr>
        <w:t xml:space="preserve">for around 7GHz </w:t>
      </w:r>
      <w:r w:rsidR="00556260">
        <w:rPr>
          <w:sz w:val="20"/>
          <w:szCs w:val="20"/>
        </w:rPr>
        <w:t xml:space="preserve">is 30kHz and max CBW at NW </w:t>
      </w:r>
      <w:r>
        <w:rPr>
          <w:sz w:val="20"/>
          <w:szCs w:val="20"/>
        </w:rPr>
        <w:t xml:space="preserve">side </w:t>
      </w:r>
      <w:r w:rsidR="00556260">
        <w:rPr>
          <w:sz w:val="20"/>
          <w:szCs w:val="20"/>
        </w:rPr>
        <w:t xml:space="preserve">is 400MHz, </w:t>
      </w:r>
      <w:r>
        <w:rPr>
          <w:sz w:val="20"/>
          <w:szCs w:val="20"/>
        </w:rPr>
        <w:t xml:space="preserve">while max CBW at UE is to be decided. In theory, there are in general two options </w:t>
      </w:r>
    </w:p>
    <w:p w14:paraId="6A9C80D3" w14:textId="04C963AB" w:rsidR="00D73265" w:rsidRPr="00D73265" w:rsidRDefault="00D73265" w:rsidP="00D73265">
      <w:pPr>
        <w:pStyle w:val="ListParagraph"/>
        <w:numPr>
          <w:ilvl w:val="0"/>
          <w:numId w:val="86"/>
        </w:numPr>
        <w:ind w:leftChars="0"/>
        <w:jc w:val="both"/>
        <w:rPr>
          <w:rFonts w:ascii="Times New Roman" w:hAnsi="Times New Roman"/>
          <w:szCs w:val="20"/>
        </w:rPr>
      </w:pPr>
      <w:r w:rsidRPr="00D73265">
        <w:rPr>
          <w:rFonts w:ascii="Times New Roman" w:hAnsi="Times New Roman"/>
          <w:szCs w:val="20"/>
        </w:rPr>
        <w:t xml:space="preserve">Option 1: Max CBW at UE is 200MHz. </w:t>
      </w:r>
    </w:p>
    <w:p w14:paraId="6B7B8D19" w14:textId="60CB6141" w:rsidR="00D73265" w:rsidRPr="00D73265" w:rsidRDefault="00D73265" w:rsidP="00D73265">
      <w:pPr>
        <w:pStyle w:val="ListParagraph"/>
        <w:numPr>
          <w:ilvl w:val="1"/>
          <w:numId w:val="86"/>
        </w:numPr>
        <w:ind w:leftChars="0"/>
        <w:jc w:val="both"/>
        <w:rPr>
          <w:rFonts w:ascii="Times New Roman" w:hAnsi="Times New Roman"/>
          <w:szCs w:val="20"/>
        </w:rPr>
      </w:pPr>
      <w:r w:rsidRPr="00D73265">
        <w:rPr>
          <w:rFonts w:ascii="Times New Roman" w:hAnsi="Times New Roman"/>
          <w:szCs w:val="20"/>
        </w:rPr>
        <w:t>Here specification shall support 200MHz+200MHz intra-band CA within 400MHz, for a UE capable of 200</w:t>
      </w:r>
      <w:r w:rsidR="00576166">
        <w:rPr>
          <w:rFonts w:ascii="Times New Roman" w:hAnsi="Times New Roman"/>
          <w:szCs w:val="20"/>
        </w:rPr>
        <w:t>MHz</w:t>
      </w:r>
      <w:r w:rsidRPr="00D73265">
        <w:rPr>
          <w:rFonts w:ascii="Times New Roman" w:hAnsi="Times New Roman"/>
          <w:szCs w:val="20"/>
        </w:rPr>
        <w:t>+200</w:t>
      </w:r>
      <w:r w:rsidR="00576166">
        <w:rPr>
          <w:rFonts w:ascii="Times New Roman" w:hAnsi="Times New Roman"/>
          <w:szCs w:val="20"/>
        </w:rPr>
        <w:t>MHz</w:t>
      </w:r>
      <w:r w:rsidRPr="00D73265">
        <w:rPr>
          <w:rFonts w:ascii="Times New Roman" w:hAnsi="Times New Roman"/>
          <w:szCs w:val="20"/>
        </w:rPr>
        <w:t xml:space="preserve"> CA</w:t>
      </w:r>
    </w:p>
    <w:p w14:paraId="0A2416B0" w14:textId="1F1B544C" w:rsidR="00D73265" w:rsidRPr="00D73265" w:rsidRDefault="00D73265" w:rsidP="00D73265">
      <w:pPr>
        <w:pStyle w:val="ListParagraph"/>
        <w:numPr>
          <w:ilvl w:val="0"/>
          <w:numId w:val="86"/>
        </w:numPr>
        <w:ind w:leftChars="0"/>
        <w:jc w:val="both"/>
        <w:rPr>
          <w:rFonts w:ascii="Times New Roman" w:hAnsi="Times New Roman"/>
          <w:szCs w:val="20"/>
        </w:rPr>
      </w:pPr>
      <w:r w:rsidRPr="00D73265">
        <w:rPr>
          <w:rFonts w:ascii="Times New Roman" w:hAnsi="Times New Roman"/>
          <w:szCs w:val="20"/>
        </w:rPr>
        <w:t>Option 2: Max CBW at UE is 400MHz</w:t>
      </w:r>
    </w:p>
    <w:p w14:paraId="320C7B5B" w14:textId="77777777" w:rsidR="00D73265" w:rsidRDefault="00D73265" w:rsidP="00556260">
      <w:pPr>
        <w:jc w:val="both"/>
        <w:rPr>
          <w:sz w:val="20"/>
          <w:szCs w:val="20"/>
        </w:rPr>
      </w:pPr>
    </w:p>
    <w:p w14:paraId="7B081B65" w14:textId="55B499F3" w:rsidR="00D73265" w:rsidRDefault="00576166" w:rsidP="00556260">
      <w:pPr>
        <w:jc w:val="both"/>
        <w:rPr>
          <w:sz w:val="20"/>
          <w:szCs w:val="20"/>
        </w:rPr>
      </w:pPr>
      <w:r>
        <w:rPr>
          <w:sz w:val="20"/>
          <w:szCs w:val="20"/>
        </w:rPr>
        <w:t>To decide between the two options, w</w:t>
      </w:r>
      <w:r w:rsidR="00D73265">
        <w:rPr>
          <w:sz w:val="20"/>
          <w:szCs w:val="20"/>
        </w:rPr>
        <w:t>e must note that</w:t>
      </w:r>
    </w:p>
    <w:p w14:paraId="478B98CA" w14:textId="01AD8615" w:rsidR="00D440C3" w:rsidRDefault="00D440C3" w:rsidP="00D73265">
      <w:pPr>
        <w:pStyle w:val="ListParagraph"/>
        <w:numPr>
          <w:ilvl w:val="0"/>
          <w:numId w:val="87"/>
        </w:numPr>
        <w:ind w:leftChars="0"/>
        <w:jc w:val="both"/>
        <w:rPr>
          <w:rFonts w:ascii="Times New Roman" w:hAnsi="Times New Roman"/>
          <w:szCs w:val="20"/>
        </w:rPr>
      </w:pPr>
      <w:r>
        <w:rPr>
          <w:rFonts w:ascii="Times New Roman" w:hAnsi="Times New Roman"/>
          <w:szCs w:val="20"/>
        </w:rPr>
        <w:t xml:space="preserve">200MHz as max CBW at UE, is already too big. We should keep in mind that with 200MHz, max CBW for around 7GHz is already doubled in comparison with max CBW at FR1. That itself results in a huge peak data rate (more than </w:t>
      </w:r>
      <w:r w:rsidR="00C14A62">
        <w:rPr>
          <w:rFonts w:ascii="Times New Roman" w:hAnsi="Times New Roman"/>
          <w:szCs w:val="20"/>
        </w:rPr>
        <w:t>5</w:t>
      </w:r>
      <w:r>
        <w:rPr>
          <w:rFonts w:ascii="Times New Roman" w:hAnsi="Times New Roman"/>
          <w:szCs w:val="20"/>
        </w:rPr>
        <w:t xml:space="preserve">Gbps). </w:t>
      </w:r>
      <w:r w:rsidR="00C14A62">
        <w:rPr>
          <w:rFonts w:ascii="Times New Roman" w:hAnsi="Times New Roman"/>
          <w:szCs w:val="20"/>
        </w:rPr>
        <w:t>Any demand for higher data rate which needs larger max CBW should be analysed/justified, especially for uplink.</w:t>
      </w:r>
      <w:r>
        <w:rPr>
          <w:rFonts w:ascii="Times New Roman" w:hAnsi="Times New Roman"/>
          <w:szCs w:val="20"/>
        </w:rPr>
        <w:t xml:space="preserve"> </w:t>
      </w:r>
    </w:p>
    <w:p w14:paraId="11BD9F69" w14:textId="2BFDED76" w:rsidR="00D73265" w:rsidRDefault="00D73265" w:rsidP="00D73265">
      <w:pPr>
        <w:pStyle w:val="ListParagraph"/>
        <w:numPr>
          <w:ilvl w:val="0"/>
          <w:numId w:val="87"/>
        </w:numPr>
        <w:ind w:leftChars="0"/>
        <w:jc w:val="both"/>
        <w:rPr>
          <w:rFonts w:ascii="Times New Roman" w:hAnsi="Times New Roman"/>
          <w:szCs w:val="20"/>
        </w:rPr>
      </w:pPr>
      <w:r w:rsidRPr="00D73265">
        <w:rPr>
          <w:rFonts w:ascii="Times New Roman" w:hAnsi="Times New Roman"/>
          <w:szCs w:val="20"/>
        </w:rPr>
        <w:t>CA is a modular operation. Even if a UE supports Option 2, that UE still needs to support intra-band CA within 400MHz channel</w:t>
      </w:r>
      <w:r w:rsidR="00844633">
        <w:rPr>
          <w:rFonts w:ascii="Times New Roman" w:hAnsi="Times New Roman"/>
          <w:szCs w:val="20"/>
        </w:rPr>
        <w:t xml:space="preserve">, </w:t>
      </w:r>
      <w:r w:rsidR="0011089E">
        <w:rPr>
          <w:rFonts w:ascii="Times New Roman" w:hAnsi="Times New Roman"/>
          <w:szCs w:val="20"/>
        </w:rPr>
        <w:t>given that</w:t>
      </w:r>
      <w:r w:rsidRPr="00D73265">
        <w:rPr>
          <w:rFonts w:ascii="Times New Roman" w:hAnsi="Times New Roman"/>
          <w:szCs w:val="20"/>
        </w:rPr>
        <w:t xml:space="preserve"> 400MHz max CBW is not necessarily available at all NWs</w:t>
      </w:r>
      <w:r w:rsidR="00844633">
        <w:rPr>
          <w:rFonts w:ascii="Times New Roman" w:hAnsi="Times New Roman"/>
          <w:szCs w:val="20"/>
        </w:rPr>
        <w:t>,</w:t>
      </w:r>
      <w:r w:rsidRPr="00D73265">
        <w:rPr>
          <w:rFonts w:ascii="Times New Roman" w:hAnsi="Times New Roman"/>
          <w:szCs w:val="20"/>
        </w:rPr>
        <w:t xml:space="preserve"> or inter-band CA.</w:t>
      </w:r>
    </w:p>
    <w:p w14:paraId="27A141CB" w14:textId="6EA9A0FC" w:rsidR="0011089E" w:rsidRPr="00D73265" w:rsidRDefault="0011089E" w:rsidP="0011089E">
      <w:pPr>
        <w:pStyle w:val="ListParagraph"/>
        <w:numPr>
          <w:ilvl w:val="1"/>
          <w:numId w:val="87"/>
        </w:numPr>
        <w:ind w:leftChars="0"/>
        <w:jc w:val="both"/>
        <w:rPr>
          <w:rFonts w:ascii="Times New Roman" w:hAnsi="Times New Roman"/>
          <w:szCs w:val="20"/>
        </w:rPr>
      </w:pPr>
      <w:r>
        <w:rPr>
          <w:rFonts w:ascii="Times New Roman" w:hAnsi="Times New Roman"/>
          <w:szCs w:val="20"/>
        </w:rPr>
        <w:t>Thanks to the modular operation, implementation efforts (at both UE and NW) to support Option 1 is minimized over Option 2</w:t>
      </w:r>
    </w:p>
    <w:p w14:paraId="5E055A4A" w14:textId="2CEC4CCE" w:rsidR="00D73265" w:rsidRPr="00D73265" w:rsidRDefault="00D73265" w:rsidP="00D73265">
      <w:pPr>
        <w:pStyle w:val="ListParagraph"/>
        <w:numPr>
          <w:ilvl w:val="0"/>
          <w:numId w:val="87"/>
        </w:numPr>
        <w:ind w:leftChars="0"/>
        <w:jc w:val="both"/>
        <w:rPr>
          <w:rFonts w:ascii="Times New Roman" w:hAnsi="Times New Roman"/>
          <w:szCs w:val="20"/>
        </w:rPr>
      </w:pPr>
      <w:r w:rsidRPr="00D73265">
        <w:rPr>
          <w:rFonts w:ascii="Times New Roman" w:hAnsi="Times New Roman"/>
          <w:szCs w:val="20"/>
        </w:rPr>
        <w:t xml:space="preserve">From system performance, there is no big and realistic advantage for Option 2 over Option 1. </w:t>
      </w:r>
      <w:r>
        <w:rPr>
          <w:rFonts w:ascii="Times New Roman" w:hAnsi="Times New Roman"/>
          <w:szCs w:val="20"/>
        </w:rPr>
        <w:t xml:space="preserve">This is especially true considering that </w:t>
      </w:r>
      <w:r w:rsidR="00827E0C">
        <w:rPr>
          <w:rFonts w:ascii="Times New Roman" w:hAnsi="Times New Roman"/>
          <w:szCs w:val="20"/>
        </w:rPr>
        <w:t xml:space="preserve">guard band overhead for 200MHz+200MHz CA is less than 1% and yet </w:t>
      </w:r>
      <w:r w:rsidR="00B819D3">
        <w:rPr>
          <w:rFonts w:ascii="Times New Roman" w:hAnsi="Times New Roman"/>
          <w:szCs w:val="20"/>
        </w:rPr>
        <w:t xml:space="preserve">this small overhead can be reduced </w:t>
      </w:r>
      <w:r>
        <w:rPr>
          <w:rFonts w:ascii="Times New Roman" w:hAnsi="Times New Roman"/>
          <w:szCs w:val="20"/>
        </w:rPr>
        <w:t xml:space="preserve">for this intra-band collocated </w:t>
      </w:r>
      <w:r w:rsidR="00B819D3">
        <w:rPr>
          <w:rFonts w:ascii="Times New Roman" w:hAnsi="Times New Roman"/>
          <w:szCs w:val="20"/>
        </w:rPr>
        <w:t xml:space="preserve">CA </w:t>
      </w:r>
      <w:r>
        <w:rPr>
          <w:rFonts w:ascii="Times New Roman" w:hAnsi="Times New Roman"/>
          <w:szCs w:val="20"/>
        </w:rPr>
        <w:t>scenario</w:t>
      </w:r>
      <w:r w:rsidR="00B819D3">
        <w:rPr>
          <w:rFonts w:ascii="Times New Roman" w:hAnsi="Times New Roman"/>
          <w:szCs w:val="20"/>
        </w:rPr>
        <w:t xml:space="preserve"> </w:t>
      </w:r>
      <w:r>
        <w:rPr>
          <w:rFonts w:ascii="Times New Roman" w:hAnsi="Times New Roman"/>
          <w:szCs w:val="20"/>
        </w:rPr>
        <w:t>(up to RAN4 confirmation).</w:t>
      </w:r>
    </w:p>
    <w:p w14:paraId="3F62299E" w14:textId="77777777" w:rsidR="0011089E" w:rsidRDefault="0011089E" w:rsidP="00426462">
      <w:pPr>
        <w:jc w:val="both"/>
        <w:rPr>
          <w:sz w:val="20"/>
          <w:szCs w:val="20"/>
        </w:rPr>
      </w:pPr>
    </w:p>
    <w:p w14:paraId="57D354F9" w14:textId="4B729C2D" w:rsidR="00844633" w:rsidRDefault="0011089E" w:rsidP="00426462">
      <w:pPr>
        <w:jc w:val="both"/>
        <w:rPr>
          <w:sz w:val="20"/>
          <w:szCs w:val="20"/>
        </w:rPr>
      </w:pPr>
      <w:r>
        <w:rPr>
          <w:sz w:val="20"/>
          <w:szCs w:val="20"/>
        </w:rPr>
        <w:t>Based on the above discussion, we have the following proposal</w:t>
      </w:r>
      <w:r w:rsidR="00223284">
        <w:rPr>
          <w:sz w:val="20"/>
          <w:szCs w:val="20"/>
        </w:rPr>
        <w:t xml:space="preserve"> for around 7GHz:</w:t>
      </w:r>
    </w:p>
    <w:p w14:paraId="5F83AA7E" w14:textId="77777777" w:rsidR="00223284" w:rsidRDefault="00223284" w:rsidP="00426462">
      <w:pPr>
        <w:jc w:val="both"/>
        <w:rPr>
          <w:sz w:val="20"/>
          <w:szCs w:val="20"/>
        </w:rPr>
      </w:pPr>
    </w:p>
    <w:p w14:paraId="15F53378" w14:textId="5B7A17F7" w:rsidR="0011089E" w:rsidRPr="0011089E" w:rsidRDefault="0011089E" w:rsidP="0011089E">
      <w:pPr>
        <w:jc w:val="both"/>
        <w:rPr>
          <w:b/>
          <w:bCs/>
          <w:i/>
          <w:sz w:val="20"/>
          <w:szCs w:val="20"/>
        </w:rPr>
      </w:pPr>
      <w:r w:rsidRPr="0011089E">
        <w:rPr>
          <w:b/>
          <w:i/>
          <w:sz w:val="20"/>
          <w:szCs w:val="20"/>
        </w:rPr>
        <w:t xml:space="preserve">Proposal </w:t>
      </w:r>
      <w:r w:rsidR="00433811">
        <w:rPr>
          <w:b/>
          <w:i/>
          <w:sz w:val="20"/>
          <w:szCs w:val="20"/>
        </w:rPr>
        <w:t>1</w:t>
      </w:r>
      <w:r w:rsidRPr="0011089E">
        <w:rPr>
          <w:b/>
          <w:i/>
          <w:sz w:val="20"/>
          <w:szCs w:val="20"/>
        </w:rPr>
        <w:t xml:space="preserve">: </w:t>
      </w:r>
      <w:r w:rsidR="00223284">
        <w:rPr>
          <w:b/>
          <w:i/>
          <w:sz w:val="20"/>
          <w:szCs w:val="20"/>
        </w:rPr>
        <w:t>For around 7GHz, s</w:t>
      </w:r>
      <w:r w:rsidRPr="0011089E">
        <w:rPr>
          <w:b/>
          <w:i/>
          <w:sz w:val="20"/>
          <w:szCs w:val="20"/>
        </w:rPr>
        <w:t xml:space="preserve">upport </w:t>
      </w:r>
      <w:r w:rsidRPr="0011089E">
        <w:rPr>
          <w:b/>
          <w:bCs/>
          <w:i/>
          <w:sz w:val="20"/>
          <w:szCs w:val="20"/>
        </w:rPr>
        <w:t xml:space="preserve">Max CBW 200MHz at UE. </w:t>
      </w:r>
    </w:p>
    <w:p w14:paraId="5C499F1A" w14:textId="60B43C5A" w:rsidR="0011089E" w:rsidRPr="0011089E" w:rsidRDefault="0011089E" w:rsidP="0011089E">
      <w:pPr>
        <w:pStyle w:val="ListParagraph"/>
        <w:numPr>
          <w:ilvl w:val="0"/>
          <w:numId w:val="88"/>
        </w:numPr>
        <w:ind w:leftChars="0"/>
        <w:jc w:val="both"/>
        <w:rPr>
          <w:rFonts w:ascii="Times New Roman" w:hAnsi="Times New Roman"/>
          <w:b/>
          <w:bCs/>
          <w:i/>
          <w:szCs w:val="20"/>
        </w:rPr>
      </w:pPr>
      <w:r w:rsidRPr="0011089E">
        <w:rPr>
          <w:rFonts w:ascii="Times New Roman" w:hAnsi="Times New Roman"/>
          <w:b/>
          <w:bCs/>
          <w:i/>
          <w:szCs w:val="20"/>
        </w:rPr>
        <w:t>A 400MHz CBW NW shall support 200MHz+200MHz CA, if UE is capable of CA</w:t>
      </w:r>
    </w:p>
    <w:p w14:paraId="219E4CE8" w14:textId="7E4D434D" w:rsidR="0011089E" w:rsidRPr="0011089E" w:rsidRDefault="0011089E" w:rsidP="0011089E">
      <w:pPr>
        <w:pStyle w:val="ListParagraph"/>
        <w:numPr>
          <w:ilvl w:val="0"/>
          <w:numId w:val="88"/>
        </w:numPr>
        <w:ind w:leftChars="0"/>
        <w:jc w:val="both"/>
        <w:rPr>
          <w:rFonts w:ascii="Times New Roman" w:hAnsi="Times New Roman"/>
          <w:b/>
          <w:bCs/>
          <w:i/>
          <w:szCs w:val="20"/>
        </w:rPr>
      </w:pPr>
      <w:r w:rsidRPr="0011089E">
        <w:rPr>
          <w:rFonts w:ascii="Times New Roman" w:hAnsi="Times New Roman"/>
          <w:b/>
          <w:bCs/>
          <w:i/>
          <w:szCs w:val="20"/>
          <w:lang w:val="en-US"/>
        </w:rPr>
        <w:t>Separate capabilities for UL and DL CA</w:t>
      </w:r>
    </w:p>
    <w:p w14:paraId="159AFE7B" w14:textId="77777777" w:rsidR="00844633" w:rsidRDefault="00844633" w:rsidP="00426462">
      <w:pPr>
        <w:jc w:val="both"/>
        <w:rPr>
          <w:sz w:val="20"/>
          <w:szCs w:val="20"/>
        </w:rPr>
      </w:pPr>
    </w:p>
    <w:p w14:paraId="431503C8" w14:textId="5335F3B5" w:rsidR="00F308BE" w:rsidRDefault="00F308BE" w:rsidP="00426462">
      <w:pPr>
        <w:jc w:val="both"/>
        <w:rPr>
          <w:sz w:val="20"/>
          <w:szCs w:val="20"/>
        </w:rPr>
      </w:pPr>
      <w:r>
        <w:rPr>
          <w:sz w:val="20"/>
          <w:szCs w:val="20"/>
        </w:rPr>
        <w:t xml:space="preserve">For around 15GHz, </w:t>
      </w:r>
      <w:r w:rsidR="00E66DBB">
        <w:rPr>
          <w:sz w:val="20"/>
          <w:szCs w:val="20"/>
        </w:rPr>
        <w:t xml:space="preserve">given that decision on the proper SCS is highly related to delay spread for this frequency range, in our view the discussion should be postponed until further analysis is done regarding DS. </w:t>
      </w:r>
      <w:r w:rsidR="00611C91">
        <w:rPr>
          <w:sz w:val="20"/>
          <w:szCs w:val="20"/>
        </w:rPr>
        <w:t xml:space="preserve">Another reason to deprioritize discussion for around 15GHz is uncertainty about spectrum availability for that frequency range.  </w:t>
      </w:r>
    </w:p>
    <w:p w14:paraId="46508C23" w14:textId="77777777" w:rsidR="00F308BE" w:rsidRDefault="00F308BE" w:rsidP="00426462">
      <w:pPr>
        <w:jc w:val="both"/>
        <w:rPr>
          <w:sz w:val="20"/>
          <w:szCs w:val="20"/>
        </w:rPr>
      </w:pPr>
    </w:p>
    <w:p w14:paraId="71E4024A" w14:textId="57252BCA" w:rsidR="00E66DBB" w:rsidRPr="00446CD2" w:rsidRDefault="00E66DBB" w:rsidP="00E66DBB">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Pr>
          <w:rFonts w:cs="Batang"/>
          <w:b/>
          <w:i/>
          <w:sz w:val="20"/>
          <w:szCs w:val="20"/>
        </w:rPr>
        <w:t xml:space="preserve">Postpone discussion on SCS for around 15GHz until </w:t>
      </w:r>
      <w:r w:rsidR="00611C91">
        <w:rPr>
          <w:rFonts w:cs="Batang"/>
          <w:b/>
          <w:i/>
          <w:sz w:val="20"/>
          <w:szCs w:val="20"/>
        </w:rPr>
        <w:t xml:space="preserve">spectrum availability is clear and </w:t>
      </w:r>
      <w:r>
        <w:rPr>
          <w:rFonts w:cs="Batang"/>
          <w:b/>
          <w:i/>
          <w:sz w:val="20"/>
          <w:szCs w:val="20"/>
        </w:rPr>
        <w:t xml:space="preserve">further analysis </w:t>
      </w:r>
      <w:r w:rsidR="00611C91">
        <w:rPr>
          <w:rFonts w:cs="Batang"/>
          <w:b/>
          <w:i/>
          <w:sz w:val="20"/>
          <w:szCs w:val="20"/>
        </w:rPr>
        <w:t xml:space="preserve">is made </w:t>
      </w:r>
      <w:r>
        <w:rPr>
          <w:rFonts w:cs="Batang"/>
          <w:b/>
          <w:i/>
          <w:sz w:val="20"/>
          <w:szCs w:val="20"/>
        </w:rPr>
        <w:t xml:space="preserve">on delay spread in that range.  </w:t>
      </w:r>
    </w:p>
    <w:p w14:paraId="1A1D521E" w14:textId="77777777" w:rsidR="00E66DBB" w:rsidRDefault="00E66DBB" w:rsidP="00426462">
      <w:pPr>
        <w:jc w:val="both"/>
        <w:rPr>
          <w:sz w:val="20"/>
          <w:szCs w:val="20"/>
        </w:rPr>
      </w:pPr>
    </w:p>
    <w:p w14:paraId="23A1F2CC" w14:textId="77777777" w:rsidR="00446CD2" w:rsidRDefault="00446CD2" w:rsidP="00426462">
      <w:pPr>
        <w:jc w:val="both"/>
        <w:rPr>
          <w:sz w:val="20"/>
          <w:szCs w:val="20"/>
        </w:rPr>
      </w:pPr>
    </w:p>
    <w:p w14:paraId="6CDB2673" w14:textId="77777777" w:rsidR="000C56E0" w:rsidRDefault="000C56E0" w:rsidP="00426462">
      <w:pPr>
        <w:jc w:val="both"/>
        <w:rPr>
          <w:sz w:val="20"/>
          <w:szCs w:val="20"/>
        </w:rPr>
      </w:pPr>
    </w:p>
    <w:p w14:paraId="451AC401" w14:textId="77777777" w:rsidR="005528BE" w:rsidRDefault="005528BE" w:rsidP="000E65B1">
      <w:pPr>
        <w:jc w:val="both"/>
        <w:rPr>
          <w:sz w:val="20"/>
          <w:szCs w:val="20"/>
        </w:rPr>
      </w:pPr>
    </w:p>
    <w:p w14:paraId="6151FE14" w14:textId="2EA229DE" w:rsidR="002F46A5" w:rsidRDefault="002F46A5" w:rsidP="002F46A5">
      <w:pPr>
        <w:pStyle w:val="Heading1"/>
      </w:pPr>
      <w:r>
        <w:t>Frame Structure</w:t>
      </w:r>
    </w:p>
    <w:p w14:paraId="0DB7DACF" w14:textId="6C367FF3" w:rsidR="002F46A5" w:rsidRPr="00BE4C1E" w:rsidRDefault="009452B1" w:rsidP="000E65B1">
      <w:pPr>
        <w:jc w:val="both"/>
        <w:rPr>
          <w:sz w:val="20"/>
          <w:szCs w:val="20"/>
        </w:rPr>
      </w:pPr>
      <w:r>
        <w:rPr>
          <w:sz w:val="20"/>
          <w:szCs w:val="20"/>
        </w:rPr>
        <w:t>For frame structure, we assume NR design as the baseline for 6GR</w:t>
      </w:r>
      <w:r w:rsidR="001A2F8E">
        <w:rPr>
          <w:sz w:val="20"/>
          <w:szCs w:val="20"/>
        </w:rPr>
        <w:t xml:space="preserve">. Like NR, channel allocations are restricted within a slot which simplifies channel selection procedure at both NW and UE. Recalling that NR structure is already quite flexible (e.g. for PUSCH/PDSCH with mapping Type B, the allocation can start almost anywhere in the slot), in our view further flexibility like crossing the slot border (which was first specified in R16 under URLLC and never deployed) is not justified.  </w:t>
      </w:r>
    </w:p>
    <w:p w14:paraId="746A4866" w14:textId="77777777" w:rsidR="004F4ABE" w:rsidRDefault="004F4ABE" w:rsidP="00D71528">
      <w:pPr>
        <w:pStyle w:val="0Maintext"/>
        <w:spacing w:after="0" w:afterAutospacing="0" w:line="240" w:lineRule="auto"/>
        <w:ind w:firstLine="0"/>
      </w:pPr>
    </w:p>
    <w:p w14:paraId="13864F3D" w14:textId="77777777" w:rsidR="003F375C" w:rsidRDefault="00054A2D" w:rsidP="00D71528">
      <w:pPr>
        <w:pStyle w:val="0Maintext"/>
        <w:spacing w:after="0" w:afterAutospacing="0" w:line="240" w:lineRule="auto"/>
        <w:ind w:firstLine="0"/>
        <w:rPr>
          <w:b/>
          <w:i/>
        </w:rPr>
      </w:pPr>
      <w:r w:rsidRPr="00446CD2">
        <w:rPr>
          <w:b/>
          <w:i/>
        </w:rPr>
        <w:t xml:space="preserve">Proposal </w:t>
      </w:r>
      <w:r w:rsidR="00223284">
        <w:rPr>
          <w:b/>
          <w:i/>
        </w:rPr>
        <w:t>3</w:t>
      </w:r>
      <w:r w:rsidRPr="00446CD2">
        <w:rPr>
          <w:b/>
          <w:i/>
        </w:rPr>
        <w:t xml:space="preserve">: </w:t>
      </w:r>
      <w:r w:rsidR="003F375C">
        <w:rPr>
          <w:b/>
          <w:i/>
        </w:rPr>
        <w:t>Slot is considered as the scheduling unit.</w:t>
      </w:r>
    </w:p>
    <w:p w14:paraId="1E312C0A" w14:textId="77777777" w:rsidR="003F375C" w:rsidRDefault="003F375C" w:rsidP="00D71528">
      <w:pPr>
        <w:pStyle w:val="0Maintext"/>
        <w:spacing w:after="0" w:afterAutospacing="0" w:line="240" w:lineRule="auto"/>
        <w:ind w:firstLine="0"/>
        <w:rPr>
          <w:b/>
          <w:i/>
        </w:rPr>
      </w:pPr>
    </w:p>
    <w:p w14:paraId="0D1D182A" w14:textId="0DE70ADB" w:rsidR="00054A2D" w:rsidRDefault="003F375C" w:rsidP="00D71528">
      <w:pPr>
        <w:pStyle w:val="0Maintext"/>
        <w:spacing w:after="0" w:afterAutospacing="0" w:line="240" w:lineRule="auto"/>
        <w:ind w:firstLine="0"/>
      </w:pPr>
      <w:r>
        <w:rPr>
          <w:b/>
          <w:i/>
        </w:rPr>
        <w:t xml:space="preserve">Proposal 4: </w:t>
      </w:r>
      <w:r w:rsidR="00054A2D">
        <w:rPr>
          <w:b/>
          <w:bCs/>
          <w:i/>
          <w:iCs/>
          <w:lang w:val="en-US"/>
        </w:rPr>
        <w:t>Do not support a floating frame structure with crossing the slot boundary for</w:t>
      </w:r>
      <w:r w:rsidR="00054A2D" w:rsidRPr="00054A2D">
        <w:rPr>
          <w:b/>
          <w:bCs/>
          <w:i/>
          <w:iCs/>
          <w:lang w:val="en-US"/>
        </w:rPr>
        <w:t xml:space="preserve"> Day-1 6GR air interface</w:t>
      </w:r>
      <w:r w:rsidR="00054A2D">
        <w:rPr>
          <w:b/>
          <w:bCs/>
          <w:i/>
          <w:iCs/>
          <w:lang w:val="en-US"/>
        </w:rPr>
        <w:t>.</w:t>
      </w:r>
    </w:p>
    <w:p w14:paraId="020DDB2C" w14:textId="77777777" w:rsidR="00054A2D" w:rsidRDefault="00054A2D" w:rsidP="00D71528">
      <w:pPr>
        <w:pStyle w:val="0Maintext"/>
        <w:spacing w:after="0" w:afterAutospacing="0" w:line="240" w:lineRule="auto"/>
        <w:ind w:firstLine="0"/>
      </w:pPr>
    </w:p>
    <w:p w14:paraId="18206B0C" w14:textId="4780B2A8" w:rsidR="001A2F8E" w:rsidRDefault="00054A2D" w:rsidP="00054A2D">
      <w:pPr>
        <w:pStyle w:val="0Maintext"/>
        <w:spacing w:after="0" w:line="240" w:lineRule="auto"/>
        <w:ind w:firstLine="0"/>
        <w:rPr>
          <w:u w:val="single"/>
          <w:lang w:val="en-US"/>
        </w:rPr>
      </w:pPr>
      <w:r>
        <w:rPr>
          <w:lang w:val="en-US"/>
        </w:rPr>
        <w:t>In addition, in 6GR for TDD</w:t>
      </w:r>
      <w:r w:rsidR="00223284">
        <w:rPr>
          <w:lang w:val="en-US"/>
        </w:rPr>
        <w:t>,</w:t>
      </w:r>
      <w:r>
        <w:rPr>
          <w:lang w:val="en-US"/>
        </w:rPr>
        <w:t xml:space="preserve"> a frame may consist of D, U, and F symbols, like NR. However, unlike NR, dynamic TDD over F symbols is not supported in 6GR</w:t>
      </w:r>
      <w:r w:rsidR="00B44A9A">
        <w:rPr>
          <w:lang w:val="en-US"/>
        </w:rPr>
        <w:t xml:space="preserve"> Day-1</w:t>
      </w:r>
      <w:r>
        <w:rPr>
          <w:lang w:val="en-US"/>
        </w:rPr>
        <w:t xml:space="preserve">. </w:t>
      </w:r>
      <w:r w:rsidR="001A2F8E" w:rsidRPr="001A2F8E">
        <w:rPr>
          <w:lang w:val="en-US"/>
        </w:rPr>
        <w:t xml:space="preserve">Dynamic TDD has been specified in both LTE (Rel-12 </w:t>
      </w:r>
      <w:proofErr w:type="spellStart"/>
      <w:r w:rsidR="001A2F8E" w:rsidRPr="001A2F8E">
        <w:rPr>
          <w:lang w:val="en-US"/>
        </w:rPr>
        <w:t>eIMTA</w:t>
      </w:r>
      <w:proofErr w:type="spellEnd"/>
      <w:r w:rsidR="001A2F8E" w:rsidRPr="001A2F8E">
        <w:rPr>
          <w:lang w:val="en-US"/>
        </w:rPr>
        <w:t xml:space="preserve">) and NR (from the first release) with </w:t>
      </w:r>
      <w:r w:rsidR="001A2F8E" w:rsidRPr="00054A2D">
        <w:rPr>
          <w:lang w:val="en-US"/>
        </w:rPr>
        <w:t xml:space="preserve">no commercial success </w:t>
      </w:r>
      <w:r w:rsidRPr="00054A2D">
        <w:rPr>
          <w:lang w:val="en-US"/>
        </w:rPr>
        <w:t>[2].</w:t>
      </w:r>
      <w:r>
        <w:rPr>
          <w:u w:val="single"/>
          <w:lang w:val="en-US"/>
        </w:rPr>
        <w:t xml:space="preserve"> </w:t>
      </w:r>
    </w:p>
    <w:p w14:paraId="018BFC78" w14:textId="7D87CB1A" w:rsidR="00054A2D" w:rsidRPr="00054A2D" w:rsidRDefault="00054A2D" w:rsidP="00054A2D">
      <w:pPr>
        <w:pStyle w:val="0Maintext"/>
        <w:spacing w:after="0" w:afterAutospacing="0" w:line="240" w:lineRule="auto"/>
        <w:ind w:firstLine="0"/>
        <w:rPr>
          <w:b/>
          <w:i/>
        </w:rPr>
      </w:pPr>
      <w:r w:rsidRPr="00446CD2">
        <w:rPr>
          <w:b/>
          <w:i/>
        </w:rPr>
        <w:t xml:space="preserve">Proposal </w:t>
      </w:r>
      <w:r w:rsidR="003F375C">
        <w:rPr>
          <w:b/>
          <w:i/>
        </w:rPr>
        <w:t>5</w:t>
      </w:r>
      <w:r w:rsidRPr="00446CD2">
        <w:rPr>
          <w:b/>
          <w:i/>
        </w:rPr>
        <w:t xml:space="preserve">: </w:t>
      </w:r>
      <w:r w:rsidRPr="00054A2D">
        <w:rPr>
          <w:b/>
          <w:i/>
        </w:rPr>
        <w:t>NR frame structure is considered as baseline in 6GR with the following simplifications for TDD</w:t>
      </w:r>
    </w:p>
    <w:p w14:paraId="2B6C83AD" w14:textId="77777777" w:rsidR="00871232" w:rsidRDefault="00054A2D" w:rsidP="00871232">
      <w:pPr>
        <w:pStyle w:val="0Maintext"/>
        <w:numPr>
          <w:ilvl w:val="0"/>
          <w:numId w:val="83"/>
        </w:numPr>
        <w:spacing w:after="0" w:afterAutospacing="0" w:line="240" w:lineRule="auto"/>
        <w:rPr>
          <w:b/>
          <w:i/>
        </w:rPr>
      </w:pPr>
      <w:r w:rsidRPr="00054A2D">
        <w:rPr>
          <w:b/>
          <w:i/>
        </w:rPr>
        <w:t>Do not support of dynamic TDD</w:t>
      </w:r>
    </w:p>
    <w:p w14:paraId="2A23AAC7" w14:textId="77777777" w:rsidR="00871232" w:rsidRDefault="00871232" w:rsidP="00871232">
      <w:pPr>
        <w:pStyle w:val="0Maintext"/>
        <w:spacing w:after="0" w:afterAutospacing="0" w:line="240" w:lineRule="auto"/>
        <w:ind w:firstLine="0"/>
        <w:rPr>
          <w:b/>
          <w:i/>
        </w:rPr>
      </w:pPr>
    </w:p>
    <w:p w14:paraId="2FB3CF38" w14:textId="026C2410" w:rsidR="003F375C" w:rsidRDefault="003F375C" w:rsidP="00871232">
      <w:pPr>
        <w:pStyle w:val="0Maintext"/>
        <w:spacing w:after="0" w:afterAutospacing="0" w:line="240" w:lineRule="auto"/>
        <w:ind w:firstLine="0"/>
      </w:pPr>
      <w:r>
        <w:t>There were also discussions in RAN1#122 and RAN1#122b on TDD frame configuration. More precisely, whether to configure cell-specific TDD pattern only, or to allow UE specific patterns as well, where in our understanding the latter has not been commercialized in NR.</w:t>
      </w:r>
    </w:p>
    <w:p w14:paraId="32BA1DB2" w14:textId="77777777" w:rsidR="003F375C" w:rsidRDefault="003F375C" w:rsidP="003F375C">
      <w:pPr>
        <w:pStyle w:val="0Maintext"/>
        <w:spacing w:after="0" w:line="240" w:lineRule="auto"/>
        <w:ind w:firstLine="0"/>
        <w:rPr>
          <w:lang w:val="en-US"/>
        </w:rPr>
      </w:pPr>
    </w:p>
    <w:p w14:paraId="5B831DDE" w14:textId="387FE273" w:rsidR="003F375C" w:rsidRDefault="003F375C" w:rsidP="003F375C">
      <w:pPr>
        <w:pStyle w:val="0Maintext"/>
        <w:spacing w:after="0" w:afterAutospacing="0"/>
        <w:ind w:firstLine="0"/>
        <w:rPr>
          <w:b/>
          <w:i/>
        </w:rPr>
      </w:pPr>
      <w:r w:rsidRPr="003F375C">
        <w:rPr>
          <w:b/>
          <w:i/>
        </w:rPr>
        <w:t xml:space="preserve">Proposal </w:t>
      </w:r>
      <w:r>
        <w:rPr>
          <w:b/>
          <w:i/>
        </w:rPr>
        <w:t>6</w:t>
      </w:r>
      <w:r w:rsidRPr="003F375C">
        <w:rPr>
          <w:b/>
          <w:i/>
        </w:rPr>
        <w:t>: Limit TDD configurations to just few configurations (</w:t>
      </w:r>
      <w:proofErr w:type="gramStart"/>
      <w:r w:rsidRPr="003F375C">
        <w:rPr>
          <w:b/>
          <w:i/>
        </w:rPr>
        <w:t>similar to</w:t>
      </w:r>
      <w:proofErr w:type="gramEnd"/>
      <w:r w:rsidRPr="003F375C">
        <w:rPr>
          <w:b/>
          <w:i/>
        </w:rPr>
        <w:t xml:space="preserve"> LTE)</w:t>
      </w:r>
    </w:p>
    <w:p w14:paraId="36403770" w14:textId="5D387F93" w:rsidR="003F375C" w:rsidRPr="003F375C" w:rsidRDefault="003F375C" w:rsidP="003F375C">
      <w:pPr>
        <w:pStyle w:val="0Maintext"/>
        <w:numPr>
          <w:ilvl w:val="0"/>
          <w:numId w:val="83"/>
        </w:numPr>
        <w:spacing w:after="0" w:afterAutospacing="0"/>
        <w:rPr>
          <w:b/>
          <w:i/>
        </w:rPr>
      </w:pPr>
      <w:r w:rsidRPr="003F375C">
        <w:rPr>
          <w:b/>
          <w:i/>
        </w:rPr>
        <w:t>Cell specific indication is baseline</w:t>
      </w:r>
    </w:p>
    <w:p w14:paraId="450B9579" w14:textId="77777777" w:rsidR="003F375C" w:rsidRDefault="003F375C" w:rsidP="00871232">
      <w:pPr>
        <w:pStyle w:val="0Maintext"/>
        <w:spacing w:after="0" w:afterAutospacing="0" w:line="240" w:lineRule="auto"/>
        <w:ind w:firstLine="0"/>
      </w:pPr>
    </w:p>
    <w:p w14:paraId="73E453B0" w14:textId="73982AEE" w:rsidR="00C25A1F" w:rsidRDefault="00297E2A" w:rsidP="00871232">
      <w:pPr>
        <w:pStyle w:val="0Maintext"/>
        <w:spacing w:after="0" w:afterAutospacing="0" w:line="240" w:lineRule="auto"/>
        <w:ind w:firstLine="0"/>
      </w:pPr>
      <w:r>
        <w:t>I</w:t>
      </w:r>
      <w:r w:rsidR="00B44A9A">
        <w:t xml:space="preserve">f SBFD is supported in 6GR Day-1, baseline from R19 will be considered which is SBFD at </w:t>
      </w:r>
      <w:proofErr w:type="spellStart"/>
      <w:r w:rsidR="00B44A9A">
        <w:t>gNB</w:t>
      </w:r>
      <w:proofErr w:type="spellEnd"/>
      <w:r w:rsidR="00B44A9A">
        <w:t xml:space="preserve"> over semi-static SBFD configuration.</w:t>
      </w:r>
      <w:r>
        <w:t xml:space="preserve"> Here again dynamic indication of link direction is not well justified, given that SBFD pattern is quite flexible and should be able to address to different traffic types. </w:t>
      </w:r>
    </w:p>
    <w:p w14:paraId="453364C9" w14:textId="77777777" w:rsidR="00B44A9A" w:rsidRDefault="00B44A9A" w:rsidP="00871232">
      <w:pPr>
        <w:pStyle w:val="0Maintext"/>
        <w:spacing w:after="0" w:afterAutospacing="0" w:line="240" w:lineRule="auto"/>
        <w:ind w:firstLine="0"/>
      </w:pPr>
    </w:p>
    <w:p w14:paraId="05F2A717" w14:textId="4C8A3F13" w:rsidR="00B44A9A" w:rsidRPr="00B44A9A" w:rsidRDefault="00B44A9A" w:rsidP="00B44A9A">
      <w:pPr>
        <w:pStyle w:val="0Maintext"/>
        <w:spacing w:after="0" w:afterAutospacing="0" w:line="240" w:lineRule="auto"/>
        <w:ind w:firstLine="0"/>
        <w:rPr>
          <w:b/>
          <w:i/>
        </w:rPr>
      </w:pPr>
      <w:r w:rsidRPr="00446CD2">
        <w:rPr>
          <w:b/>
          <w:i/>
        </w:rPr>
        <w:t xml:space="preserve">Proposal </w:t>
      </w:r>
      <w:r w:rsidR="003F375C">
        <w:rPr>
          <w:b/>
          <w:i/>
        </w:rPr>
        <w:t>7</w:t>
      </w:r>
      <w:r w:rsidRPr="00446CD2">
        <w:rPr>
          <w:b/>
          <w:i/>
        </w:rPr>
        <w:t xml:space="preserve">: </w:t>
      </w:r>
      <w:r w:rsidRPr="00B44A9A">
        <w:rPr>
          <w:b/>
          <w:i/>
          <w:lang w:val="en-US"/>
        </w:rPr>
        <w:t>If SBFD is considered as a symbol type for 6G day-1, the link direction in SBFD symbols is RRC-configured</w:t>
      </w:r>
    </w:p>
    <w:p w14:paraId="73878A78" w14:textId="77777777" w:rsidR="00C25A1F" w:rsidRPr="00C25A1F" w:rsidRDefault="00C25A1F" w:rsidP="00C25A1F">
      <w:pPr>
        <w:pStyle w:val="0Maintext"/>
        <w:spacing w:after="0" w:afterAutospacing="0" w:line="240" w:lineRule="auto"/>
        <w:rPr>
          <w:bCs/>
          <w:iCs/>
        </w:rPr>
      </w:pPr>
    </w:p>
    <w:p w14:paraId="319B6700" w14:textId="76EABB85" w:rsidR="007A1F9E" w:rsidRDefault="007A1F9E" w:rsidP="007A1F9E">
      <w:pPr>
        <w:pStyle w:val="Heading1"/>
      </w:pPr>
      <w:r>
        <w:t>Conclusion</w:t>
      </w:r>
    </w:p>
    <w:p w14:paraId="69D2C5F4" w14:textId="3B8188BD"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our views on </w:t>
      </w:r>
      <w:r w:rsidR="00544EE4">
        <w:t>numerology, channel BW, and frame structure in 6GR air interface</w:t>
      </w:r>
      <w:r w:rsidR="00544EE4">
        <w:rPr>
          <w:lang w:val="en-US" w:eastAsia="zh-CN"/>
        </w:rPr>
        <w:t>. We have the following proposals:</w:t>
      </w:r>
    </w:p>
    <w:p w14:paraId="4148DB3E" w14:textId="77777777" w:rsidR="000D1790" w:rsidRPr="0011089E" w:rsidRDefault="000D1790" w:rsidP="000D1790">
      <w:pPr>
        <w:jc w:val="both"/>
        <w:rPr>
          <w:b/>
          <w:bCs/>
          <w:i/>
          <w:sz w:val="20"/>
          <w:szCs w:val="20"/>
        </w:rPr>
      </w:pPr>
      <w:r w:rsidRPr="0011089E">
        <w:rPr>
          <w:b/>
          <w:i/>
          <w:sz w:val="20"/>
          <w:szCs w:val="20"/>
        </w:rPr>
        <w:t xml:space="preserve">Proposal </w:t>
      </w:r>
      <w:r>
        <w:rPr>
          <w:b/>
          <w:i/>
          <w:sz w:val="20"/>
          <w:szCs w:val="20"/>
        </w:rPr>
        <w:t>1</w:t>
      </w:r>
      <w:r w:rsidRPr="0011089E">
        <w:rPr>
          <w:b/>
          <w:i/>
          <w:sz w:val="20"/>
          <w:szCs w:val="20"/>
        </w:rPr>
        <w:t xml:space="preserve">: </w:t>
      </w:r>
      <w:r>
        <w:rPr>
          <w:b/>
          <w:i/>
          <w:sz w:val="20"/>
          <w:szCs w:val="20"/>
        </w:rPr>
        <w:t>For around 7GHz, s</w:t>
      </w:r>
      <w:r w:rsidRPr="0011089E">
        <w:rPr>
          <w:b/>
          <w:i/>
          <w:sz w:val="20"/>
          <w:szCs w:val="20"/>
        </w:rPr>
        <w:t xml:space="preserve">upport </w:t>
      </w:r>
      <w:r w:rsidRPr="0011089E">
        <w:rPr>
          <w:b/>
          <w:bCs/>
          <w:i/>
          <w:sz w:val="20"/>
          <w:szCs w:val="20"/>
        </w:rPr>
        <w:t xml:space="preserve">Max CBW 200MHz at UE. </w:t>
      </w:r>
    </w:p>
    <w:p w14:paraId="230FB65D" w14:textId="77777777" w:rsidR="000D1790" w:rsidRPr="0011089E" w:rsidRDefault="000D1790" w:rsidP="000D1790">
      <w:pPr>
        <w:pStyle w:val="ListParagraph"/>
        <w:numPr>
          <w:ilvl w:val="0"/>
          <w:numId w:val="88"/>
        </w:numPr>
        <w:ind w:leftChars="0"/>
        <w:jc w:val="both"/>
        <w:rPr>
          <w:rFonts w:ascii="Times New Roman" w:hAnsi="Times New Roman"/>
          <w:b/>
          <w:bCs/>
          <w:i/>
          <w:szCs w:val="20"/>
        </w:rPr>
      </w:pPr>
      <w:r w:rsidRPr="0011089E">
        <w:rPr>
          <w:rFonts w:ascii="Times New Roman" w:hAnsi="Times New Roman"/>
          <w:b/>
          <w:bCs/>
          <w:i/>
          <w:szCs w:val="20"/>
        </w:rPr>
        <w:t>A 400MHz CBW NW shall support 200MHz+200MHz CA, if UE is capable of CA</w:t>
      </w:r>
    </w:p>
    <w:p w14:paraId="2CD3C349" w14:textId="77777777" w:rsidR="000D1790" w:rsidRPr="0011089E" w:rsidRDefault="000D1790" w:rsidP="000D1790">
      <w:pPr>
        <w:pStyle w:val="ListParagraph"/>
        <w:numPr>
          <w:ilvl w:val="0"/>
          <w:numId w:val="88"/>
        </w:numPr>
        <w:ind w:leftChars="0"/>
        <w:jc w:val="both"/>
        <w:rPr>
          <w:rFonts w:ascii="Times New Roman" w:hAnsi="Times New Roman"/>
          <w:b/>
          <w:bCs/>
          <w:i/>
          <w:szCs w:val="20"/>
        </w:rPr>
      </w:pPr>
      <w:r w:rsidRPr="0011089E">
        <w:rPr>
          <w:rFonts w:ascii="Times New Roman" w:hAnsi="Times New Roman"/>
          <w:b/>
          <w:bCs/>
          <w:i/>
          <w:szCs w:val="20"/>
          <w:lang w:val="en-US"/>
        </w:rPr>
        <w:t>Separate capabilities for UL and DL CA</w:t>
      </w:r>
    </w:p>
    <w:p w14:paraId="6C91CF62" w14:textId="77777777" w:rsidR="000D1790" w:rsidRDefault="000D1790" w:rsidP="000D1790">
      <w:pPr>
        <w:jc w:val="both"/>
        <w:rPr>
          <w:sz w:val="20"/>
          <w:szCs w:val="20"/>
        </w:rPr>
      </w:pPr>
    </w:p>
    <w:p w14:paraId="30CDC270" w14:textId="77777777" w:rsidR="000D1790" w:rsidRPr="00446CD2" w:rsidRDefault="000D1790" w:rsidP="000D1790">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Pr>
          <w:rFonts w:cs="Batang"/>
          <w:b/>
          <w:i/>
          <w:sz w:val="20"/>
          <w:szCs w:val="20"/>
        </w:rPr>
        <w:t xml:space="preserve">Postpone discussion on SCS for around 15GHz until spectrum availability is clear and further analysis is made on delay spread in that range.  </w:t>
      </w:r>
    </w:p>
    <w:p w14:paraId="19724BAE" w14:textId="77777777" w:rsidR="000D1790" w:rsidRDefault="000D1790" w:rsidP="000D1790">
      <w:pPr>
        <w:pStyle w:val="0Maintext"/>
        <w:spacing w:after="0" w:afterAutospacing="0" w:line="240" w:lineRule="auto"/>
        <w:ind w:firstLine="0"/>
      </w:pPr>
    </w:p>
    <w:p w14:paraId="0C555CA0" w14:textId="77777777" w:rsidR="003F375C" w:rsidRDefault="003F375C" w:rsidP="003F375C">
      <w:pPr>
        <w:pStyle w:val="0Maintext"/>
        <w:spacing w:after="0" w:afterAutospacing="0" w:line="240" w:lineRule="auto"/>
        <w:ind w:firstLine="0"/>
        <w:rPr>
          <w:b/>
          <w:i/>
        </w:rPr>
      </w:pPr>
      <w:r w:rsidRPr="00446CD2">
        <w:rPr>
          <w:b/>
          <w:i/>
        </w:rPr>
        <w:t xml:space="preserve">Proposal </w:t>
      </w:r>
      <w:r>
        <w:rPr>
          <w:b/>
          <w:i/>
        </w:rPr>
        <w:t>3</w:t>
      </w:r>
      <w:r w:rsidRPr="00446CD2">
        <w:rPr>
          <w:b/>
          <w:i/>
        </w:rPr>
        <w:t xml:space="preserve">: </w:t>
      </w:r>
      <w:r>
        <w:rPr>
          <w:b/>
          <w:i/>
        </w:rPr>
        <w:t>Slot is considered as the scheduling unit.</w:t>
      </w:r>
    </w:p>
    <w:p w14:paraId="41CF0C30" w14:textId="77777777" w:rsidR="003F375C" w:rsidRDefault="003F375C" w:rsidP="003F375C">
      <w:pPr>
        <w:pStyle w:val="0Maintext"/>
        <w:spacing w:after="0" w:afterAutospacing="0" w:line="240" w:lineRule="auto"/>
        <w:ind w:firstLine="0"/>
        <w:rPr>
          <w:b/>
          <w:i/>
        </w:rPr>
      </w:pPr>
    </w:p>
    <w:p w14:paraId="3F1371C4" w14:textId="77777777" w:rsidR="003F375C" w:rsidRDefault="003F375C" w:rsidP="003F375C">
      <w:pPr>
        <w:pStyle w:val="0Maintext"/>
        <w:spacing w:after="0" w:afterAutospacing="0" w:line="240" w:lineRule="auto"/>
        <w:ind w:firstLine="0"/>
      </w:pPr>
      <w:r>
        <w:rPr>
          <w:b/>
          <w:i/>
        </w:rPr>
        <w:t xml:space="preserve">Proposal 4: </w:t>
      </w:r>
      <w:r>
        <w:rPr>
          <w:b/>
          <w:bCs/>
          <w:i/>
          <w:iCs/>
          <w:lang w:val="en-US"/>
        </w:rPr>
        <w:t>Do not support a floating frame structure with crossing the slot boundary for</w:t>
      </w:r>
      <w:r w:rsidRPr="00054A2D">
        <w:rPr>
          <w:b/>
          <w:bCs/>
          <w:i/>
          <w:iCs/>
          <w:lang w:val="en-US"/>
        </w:rPr>
        <w:t xml:space="preserve"> Day-1 6GR air interface</w:t>
      </w:r>
      <w:r>
        <w:rPr>
          <w:b/>
          <w:bCs/>
          <w:i/>
          <w:iCs/>
          <w:lang w:val="en-US"/>
        </w:rPr>
        <w:t>.</w:t>
      </w:r>
    </w:p>
    <w:p w14:paraId="68004E5B" w14:textId="77777777" w:rsidR="003F375C" w:rsidRDefault="003F375C" w:rsidP="003F375C">
      <w:pPr>
        <w:pStyle w:val="0Maintext"/>
        <w:spacing w:after="0" w:afterAutospacing="0" w:line="240" w:lineRule="auto"/>
        <w:ind w:firstLine="0"/>
      </w:pPr>
    </w:p>
    <w:p w14:paraId="7B7E945F" w14:textId="77777777" w:rsidR="003F375C" w:rsidRPr="00054A2D" w:rsidRDefault="003F375C" w:rsidP="003F375C">
      <w:pPr>
        <w:pStyle w:val="0Maintext"/>
        <w:spacing w:after="0" w:afterAutospacing="0" w:line="240" w:lineRule="auto"/>
        <w:ind w:firstLine="0"/>
        <w:rPr>
          <w:b/>
          <w:i/>
        </w:rPr>
      </w:pPr>
      <w:r w:rsidRPr="00446CD2">
        <w:rPr>
          <w:b/>
          <w:i/>
        </w:rPr>
        <w:lastRenderedPageBreak/>
        <w:t xml:space="preserve">Proposal </w:t>
      </w:r>
      <w:r>
        <w:rPr>
          <w:b/>
          <w:i/>
        </w:rPr>
        <w:t>5</w:t>
      </w:r>
      <w:r w:rsidRPr="00446CD2">
        <w:rPr>
          <w:b/>
          <w:i/>
        </w:rPr>
        <w:t xml:space="preserve">: </w:t>
      </w:r>
      <w:r w:rsidRPr="00054A2D">
        <w:rPr>
          <w:b/>
          <w:i/>
        </w:rPr>
        <w:t>NR frame structure is considered as baseline in 6GR with the following simplifications for TDD</w:t>
      </w:r>
    </w:p>
    <w:p w14:paraId="00BF8A5C" w14:textId="5A4AD457" w:rsidR="003F375C" w:rsidRDefault="003F375C" w:rsidP="003F375C">
      <w:pPr>
        <w:pStyle w:val="0Maintext"/>
        <w:numPr>
          <w:ilvl w:val="0"/>
          <w:numId w:val="83"/>
        </w:numPr>
        <w:spacing w:after="0" w:afterAutospacing="0" w:line="240" w:lineRule="auto"/>
        <w:rPr>
          <w:b/>
          <w:i/>
        </w:rPr>
      </w:pPr>
      <w:r w:rsidRPr="00054A2D">
        <w:rPr>
          <w:b/>
          <w:i/>
        </w:rPr>
        <w:t>Do not support of dynamic TDD</w:t>
      </w:r>
    </w:p>
    <w:p w14:paraId="1BA6C4A3" w14:textId="77777777" w:rsidR="003F375C" w:rsidRPr="003F375C" w:rsidRDefault="003F375C" w:rsidP="003F375C">
      <w:pPr>
        <w:pStyle w:val="0Maintext"/>
        <w:spacing w:after="0" w:afterAutospacing="0" w:line="240" w:lineRule="auto"/>
        <w:ind w:left="720" w:firstLine="0"/>
        <w:rPr>
          <w:b/>
          <w:i/>
        </w:rPr>
      </w:pPr>
    </w:p>
    <w:p w14:paraId="4F2B9BFA" w14:textId="77777777" w:rsidR="003F375C" w:rsidRDefault="003F375C" w:rsidP="003F375C">
      <w:pPr>
        <w:pStyle w:val="0Maintext"/>
        <w:spacing w:after="0" w:afterAutospacing="0"/>
        <w:ind w:firstLine="0"/>
        <w:rPr>
          <w:b/>
          <w:i/>
        </w:rPr>
      </w:pPr>
      <w:r w:rsidRPr="003F375C">
        <w:rPr>
          <w:b/>
          <w:i/>
        </w:rPr>
        <w:t xml:space="preserve">Proposal </w:t>
      </w:r>
      <w:r>
        <w:rPr>
          <w:b/>
          <w:i/>
        </w:rPr>
        <w:t>6</w:t>
      </w:r>
      <w:r w:rsidRPr="003F375C">
        <w:rPr>
          <w:b/>
          <w:i/>
        </w:rPr>
        <w:t>: Limit TDD configurations to just few configurations (</w:t>
      </w:r>
      <w:proofErr w:type="gramStart"/>
      <w:r w:rsidRPr="003F375C">
        <w:rPr>
          <w:b/>
          <w:i/>
        </w:rPr>
        <w:t>similar to</w:t>
      </w:r>
      <w:proofErr w:type="gramEnd"/>
      <w:r w:rsidRPr="003F375C">
        <w:rPr>
          <w:b/>
          <w:i/>
        </w:rPr>
        <w:t xml:space="preserve"> LTE)</w:t>
      </w:r>
    </w:p>
    <w:p w14:paraId="570B9445" w14:textId="77777777" w:rsidR="003F375C" w:rsidRPr="003F375C" w:rsidRDefault="003F375C" w:rsidP="003F375C">
      <w:pPr>
        <w:pStyle w:val="0Maintext"/>
        <w:numPr>
          <w:ilvl w:val="0"/>
          <w:numId w:val="83"/>
        </w:numPr>
        <w:spacing w:after="0" w:afterAutospacing="0"/>
        <w:rPr>
          <w:b/>
          <w:i/>
        </w:rPr>
      </w:pPr>
      <w:r w:rsidRPr="003F375C">
        <w:rPr>
          <w:b/>
          <w:i/>
        </w:rPr>
        <w:t>Cell specific indication is baseline</w:t>
      </w:r>
    </w:p>
    <w:p w14:paraId="15340C5B" w14:textId="77777777" w:rsidR="003F375C" w:rsidRDefault="003F375C" w:rsidP="003F375C">
      <w:pPr>
        <w:pStyle w:val="0Maintext"/>
        <w:spacing w:after="0" w:afterAutospacing="0" w:line="240" w:lineRule="auto"/>
        <w:ind w:firstLine="0"/>
      </w:pPr>
    </w:p>
    <w:p w14:paraId="08CAB59C" w14:textId="77777777" w:rsidR="003F375C" w:rsidRPr="00B44A9A" w:rsidRDefault="003F375C" w:rsidP="003F375C">
      <w:pPr>
        <w:pStyle w:val="0Maintext"/>
        <w:spacing w:after="0" w:afterAutospacing="0" w:line="240" w:lineRule="auto"/>
        <w:ind w:firstLine="0"/>
        <w:rPr>
          <w:b/>
          <w:i/>
        </w:rPr>
      </w:pPr>
      <w:r w:rsidRPr="00446CD2">
        <w:rPr>
          <w:b/>
          <w:i/>
        </w:rPr>
        <w:t xml:space="preserve">Proposal </w:t>
      </w:r>
      <w:r>
        <w:rPr>
          <w:b/>
          <w:i/>
        </w:rPr>
        <w:t>7</w:t>
      </w:r>
      <w:r w:rsidRPr="00446CD2">
        <w:rPr>
          <w:b/>
          <w:i/>
        </w:rPr>
        <w:t xml:space="preserve">: </w:t>
      </w:r>
      <w:r w:rsidRPr="00B44A9A">
        <w:rPr>
          <w:b/>
          <w:i/>
          <w:lang w:val="en-US"/>
        </w:rPr>
        <w:t>If SBFD is considered as a symbol type for 6G day-1, the link direction in SBFD symbols is RRC-configured</w:t>
      </w:r>
    </w:p>
    <w:p w14:paraId="03099E6D" w14:textId="77777777" w:rsidR="00FC7E84" w:rsidRPr="00FC7E84" w:rsidRDefault="00FC7E84" w:rsidP="00FC7E84">
      <w:pPr>
        <w:pStyle w:val="Heading1"/>
      </w:pPr>
      <w:r>
        <w:t xml:space="preserve">Reference </w:t>
      </w:r>
    </w:p>
    <w:p w14:paraId="230F5E11" w14:textId="48263231" w:rsidR="00FC7E84" w:rsidRDefault="00FC7E84" w:rsidP="00FC7E84">
      <w:pPr>
        <w:pStyle w:val="0Maintext"/>
        <w:spacing w:line="240" w:lineRule="auto"/>
        <w:ind w:firstLine="0"/>
        <w:contextualSpacing/>
        <w:rPr>
          <w:lang w:val="en-US"/>
        </w:rPr>
      </w:pPr>
      <w:r w:rsidRPr="00FC7E84">
        <w:rPr>
          <w:lang w:val="en-US"/>
        </w:rPr>
        <w:t xml:space="preserve">[1] RP-251881, </w:t>
      </w:r>
      <w:r w:rsidR="00195FCC">
        <w:rPr>
          <w:lang w:val="en-US"/>
        </w:rPr>
        <w:t>“</w:t>
      </w:r>
      <w:r w:rsidRPr="00FC7E84">
        <w:rPr>
          <w:lang w:val="en-US"/>
        </w:rPr>
        <w:t>New SID: Study on 6G Radio</w:t>
      </w:r>
      <w:r w:rsidR="00195FCC">
        <w:rPr>
          <w:lang w:val="en-US"/>
        </w:rPr>
        <w:t>”</w:t>
      </w:r>
      <w:r w:rsidRPr="00FC7E84">
        <w:rPr>
          <w:lang w:val="en-US"/>
        </w:rPr>
        <w:t>, 3GPP</w:t>
      </w:r>
      <w:r w:rsidRPr="00BC5F36">
        <w:rPr>
          <w:lang w:val="en-US"/>
        </w:rPr>
        <w:t xml:space="preserve"> TSG RAN Meeting #108, Prague, Czech Republic, June</w:t>
      </w:r>
      <w:r w:rsidR="00195FCC">
        <w:rPr>
          <w:lang w:val="en-US"/>
        </w:rPr>
        <w:t xml:space="preserve"> </w:t>
      </w:r>
      <w:r w:rsidRPr="00BC5F36">
        <w:rPr>
          <w:lang w:val="en-US"/>
        </w:rPr>
        <w:t>9-13, 2025</w:t>
      </w:r>
      <w:r w:rsidRPr="00BC5F36">
        <w:rPr>
          <w:lang w:val="en-US"/>
        </w:rPr>
        <w:tab/>
      </w:r>
    </w:p>
    <w:p w14:paraId="5BC9DB2A" w14:textId="77777777" w:rsidR="00195FCC" w:rsidRDefault="00ED4698" w:rsidP="00195FCC">
      <w:pPr>
        <w:pStyle w:val="0Maintext"/>
        <w:ind w:firstLine="0"/>
        <w:contextualSpacing/>
      </w:pPr>
      <w:r w:rsidRPr="00FC7E84">
        <w:rPr>
          <w:lang w:val="en-US"/>
        </w:rPr>
        <w:t>[</w:t>
      </w:r>
      <w:r>
        <w:rPr>
          <w:lang w:val="en-US"/>
        </w:rPr>
        <w:t>2</w:t>
      </w:r>
      <w:r w:rsidRPr="00FC7E84">
        <w:rPr>
          <w:lang w:val="en-US"/>
        </w:rPr>
        <w:t xml:space="preserve">] </w:t>
      </w:r>
      <w:r w:rsidR="00195FCC">
        <w:rPr>
          <w:lang w:val="en-US"/>
        </w:rPr>
        <w:t>R1</w:t>
      </w:r>
      <w:r w:rsidRPr="00FC7E84">
        <w:rPr>
          <w:lang w:val="en-US"/>
        </w:rPr>
        <w:t>-</w:t>
      </w:r>
      <w:r w:rsidR="00195FCC">
        <w:rPr>
          <w:lang w:val="en-US"/>
        </w:rPr>
        <w:t>2505911</w:t>
      </w:r>
      <w:r w:rsidRPr="00FC7E84">
        <w:rPr>
          <w:lang w:val="en-US"/>
        </w:rPr>
        <w:t xml:space="preserve">, </w:t>
      </w:r>
      <w:r w:rsidR="00195FCC">
        <w:rPr>
          <w:lang w:val="en-US"/>
        </w:rPr>
        <w:t>“</w:t>
      </w:r>
      <w:r w:rsidR="00195FCC" w:rsidRPr="00195FCC">
        <w:t>Overview of 6GR air interface</w:t>
      </w:r>
      <w:r w:rsidR="00195FCC">
        <w:t xml:space="preserve">”, </w:t>
      </w:r>
      <w:r w:rsidR="00195FCC">
        <w:rPr>
          <w:lang w:val="en-US"/>
        </w:rPr>
        <w:t>Apple,</w:t>
      </w:r>
      <w:r w:rsidRPr="00BC5F36">
        <w:rPr>
          <w:lang w:val="en-US"/>
        </w:rPr>
        <w:t xml:space="preserve"> RAN</w:t>
      </w:r>
      <w:r w:rsidR="00195FCC">
        <w:rPr>
          <w:lang w:val="en-US"/>
        </w:rPr>
        <w:t>1</w:t>
      </w:r>
      <w:r w:rsidRPr="00BC5F36">
        <w:rPr>
          <w:lang w:val="en-US"/>
        </w:rPr>
        <w:t xml:space="preserve"> Meeting #1</w:t>
      </w:r>
      <w:r w:rsidR="00195FCC">
        <w:rPr>
          <w:lang w:val="en-US"/>
        </w:rPr>
        <w:t>22</w:t>
      </w:r>
      <w:r w:rsidRPr="00BC5F36">
        <w:rPr>
          <w:lang w:val="en-US"/>
        </w:rPr>
        <w:t xml:space="preserve">, </w:t>
      </w:r>
      <w:r w:rsidR="00195FCC" w:rsidRPr="00195FCC">
        <w:t>Bengaluru, India, Aug 25</w:t>
      </w:r>
      <w:r w:rsidR="00195FCC" w:rsidRPr="00195FCC">
        <w:rPr>
          <w:rFonts w:hint="eastAsia"/>
          <w:vertAlign w:val="superscript"/>
        </w:rPr>
        <w:t>th</w:t>
      </w:r>
      <w:r w:rsidR="00195FCC" w:rsidRPr="00195FCC">
        <w:t xml:space="preserve"> – 29</w:t>
      </w:r>
      <w:r w:rsidR="00195FCC" w:rsidRPr="00195FCC">
        <w:rPr>
          <w:vertAlign w:val="superscript"/>
        </w:rPr>
        <w:t>th</w:t>
      </w:r>
      <w:r w:rsidR="00195FCC" w:rsidRPr="00195FCC">
        <w:t>, 2025</w:t>
      </w:r>
    </w:p>
    <w:p w14:paraId="3BBDA299" w14:textId="77777777" w:rsidR="00F308BE" w:rsidRPr="00195FCC" w:rsidRDefault="00F308BE" w:rsidP="00195FCC">
      <w:pPr>
        <w:pStyle w:val="0Maintext"/>
        <w:ind w:firstLine="0"/>
        <w:contextualSpacing/>
      </w:pP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4405475"/>
    <w:multiLevelType w:val="hybridMultilevel"/>
    <w:tmpl w:val="B5E24BA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7129EF"/>
    <w:multiLevelType w:val="hybridMultilevel"/>
    <w:tmpl w:val="F5185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2F4561F"/>
    <w:multiLevelType w:val="hybridMultilevel"/>
    <w:tmpl w:val="6548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7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6"/>
  </w:num>
  <w:num w:numId="5" w16cid:durableId="559053736">
    <w:abstractNumId w:val="21"/>
  </w:num>
  <w:num w:numId="6" w16cid:durableId="1855418263">
    <w:abstractNumId w:val="4"/>
  </w:num>
  <w:num w:numId="7" w16cid:durableId="1158962368">
    <w:abstractNumId w:val="9"/>
  </w:num>
  <w:num w:numId="8" w16cid:durableId="124978665">
    <w:abstractNumId w:val="67"/>
  </w:num>
  <w:num w:numId="9" w16cid:durableId="1560631235">
    <w:abstractNumId w:val="4"/>
  </w:num>
  <w:num w:numId="10" w16cid:durableId="1957518174">
    <w:abstractNumId w:val="66"/>
  </w:num>
  <w:num w:numId="11" w16cid:durableId="148325099">
    <w:abstractNumId w:val="79"/>
  </w:num>
  <w:num w:numId="12" w16cid:durableId="1367829081">
    <w:abstractNumId w:val="4"/>
  </w:num>
  <w:num w:numId="13" w16cid:durableId="1458793434">
    <w:abstractNumId w:val="51"/>
  </w:num>
  <w:num w:numId="14" w16cid:durableId="1120991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8"/>
  </w:num>
  <w:num w:numId="16" w16cid:durableId="753893123">
    <w:abstractNumId w:val="1"/>
  </w:num>
  <w:num w:numId="17" w16cid:durableId="298189470">
    <w:abstractNumId w:val="12"/>
  </w:num>
  <w:num w:numId="18" w16cid:durableId="2113550967">
    <w:abstractNumId w:val="31"/>
  </w:num>
  <w:num w:numId="19" w16cid:durableId="1755737952">
    <w:abstractNumId w:val="14"/>
  </w:num>
  <w:num w:numId="20" w16cid:durableId="700521599">
    <w:abstractNumId w:val="65"/>
  </w:num>
  <w:num w:numId="21" w16cid:durableId="2035374549">
    <w:abstractNumId w:val="15"/>
  </w:num>
  <w:num w:numId="22" w16cid:durableId="1385983104">
    <w:abstractNumId w:val="50"/>
  </w:num>
  <w:num w:numId="23" w16cid:durableId="2111394000">
    <w:abstractNumId w:val="13"/>
  </w:num>
  <w:num w:numId="24" w16cid:durableId="904952020">
    <w:abstractNumId w:val="40"/>
  </w:num>
  <w:num w:numId="25" w16cid:durableId="228393210">
    <w:abstractNumId w:val="30"/>
  </w:num>
  <w:num w:numId="26" w16cid:durableId="1508012121">
    <w:abstractNumId w:val="61"/>
  </w:num>
  <w:num w:numId="27" w16cid:durableId="1100099850">
    <w:abstractNumId w:val="2"/>
  </w:num>
  <w:num w:numId="28" w16cid:durableId="1474060407">
    <w:abstractNumId w:val="68"/>
  </w:num>
  <w:num w:numId="29" w16cid:durableId="557320135">
    <w:abstractNumId w:val="82"/>
  </w:num>
  <w:num w:numId="30" w16cid:durableId="774524779">
    <w:abstractNumId w:val="76"/>
  </w:num>
  <w:num w:numId="31" w16cid:durableId="1303388064">
    <w:abstractNumId w:val="5"/>
  </w:num>
  <w:num w:numId="32" w16cid:durableId="2106264989">
    <w:abstractNumId w:val="77"/>
  </w:num>
  <w:num w:numId="33" w16cid:durableId="14965687">
    <w:abstractNumId w:val="74"/>
  </w:num>
  <w:num w:numId="34" w16cid:durableId="792139529">
    <w:abstractNumId w:val="17"/>
  </w:num>
  <w:num w:numId="35" w16cid:durableId="1352029675">
    <w:abstractNumId w:val="59"/>
  </w:num>
  <w:num w:numId="36" w16cid:durableId="107086666">
    <w:abstractNumId w:val="69"/>
  </w:num>
  <w:num w:numId="37" w16cid:durableId="674117945">
    <w:abstractNumId w:val="3"/>
  </w:num>
  <w:num w:numId="38" w16cid:durableId="1174614123">
    <w:abstractNumId w:val="35"/>
  </w:num>
  <w:num w:numId="39" w16cid:durableId="1518932891">
    <w:abstractNumId w:val="80"/>
  </w:num>
  <w:num w:numId="40" w16cid:durableId="872035900">
    <w:abstractNumId w:val="39"/>
  </w:num>
  <w:num w:numId="41" w16cid:durableId="162280276">
    <w:abstractNumId w:val="60"/>
  </w:num>
  <w:num w:numId="42" w16cid:durableId="1006978005">
    <w:abstractNumId w:val="49"/>
  </w:num>
  <w:num w:numId="43" w16cid:durableId="850683596">
    <w:abstractNumId w:val="63"/>
  </w:num>
  <w:num w:numId="44" w16cid:durableId="1574855330">
    <w:abstractNumId w:val="29"/>
  </w:num>
  <w:num w:numId="45" w16cid:durableId="926378158">
    <w:abstractNumId w:val="37"/>
  </w:num>
  <w:num w:numId="46" w16cid:durableId="151455293">
    <w:abstractNumId w:val="55"/>
  </w:num>
  <w:num w:numId="47" w16cid:durableId="2069767649">
    <w:abstractNumId w:val="38"/>
  </w:num>
  <w:num w:numId="48" w16cid:durableId="1842501920">
    <w:abstractNumId w:val="81"/>
  </w:num>
  <w:num w:numId="49" w16cid:durableId="2089956544">
    <w:abstractNumId w:val="56"/>
  </w:num>
  <w:num w:numId="50" w16cid:durableId="1315060145">
    <w:abstractNumId w:val="42"/>
  </w:num>
  <w:num w:numId="51" w16cid:durableId="60906419">
    <w:abstractNumId w:val="4"/>
  </w:num>
  <w:num w:numId="52" w16cid:durableId="374741205">
    <w:abstractNumId w:val="54"/>
  </w:num>
  <w:num w:numId="53" w16cid:durableId="1467966988">
    <w:abstractNumId w:val="25"/>
  </w:num>
  <w:num w:numId="54" w16cid:durableId="1495141653">
    <w:abstractNumId w:val="19"/>
  </w:num>
  <w:num w:numId="55" w16cid:durableId="1407605488">
    <w:abstractNumId w:val="75"/>
  </w:num>
  <w:num w:numId="56" w16cid:durableId="1330599530">
    <w:abstractNumId w:val="53"/>
  </w:num>
  <w:num w:numId="57" w16cid:durableId="683167472">
    <w:abstractNumId w:val="22"/>
  </w:num>
  <w:num w:numId="58" w16cid:durableId="1119567867">
    <w:abstractNumId w:val="52"/>
  </w:num>
  <w:num w:numId="59" w16cid:durableId="1875731002">
    <w:abstractNumId w:val="11"/>
  </w:num>
  <w:num w:numId="60" w16cid:durableId="411700953">
    <w:abstractNumId w:val="58"/>
  </w:num>
  <w:num w:numId="61" w16cid:durableId="799154510">
    <w:abstractNumId w:val="73"/>
  </w:num>
  <w:num w:numId="62" w16cid:durableId="1079059975">
    <w:abstractNumId w:val="24"/>
  </w:num>
  <w:num w:numId="63" w16cid:durableId="441073471">
    <w:abstractNumId w:val="32"/>
  </w:num>
  <w:num w:numId="64" w16cid:durableId="93018602">
    <w:abstractNumId w:val="70"/>
  </w:num>
  <w:num w:numId="65" w16cid:durableId="1214923569">
    <w:abstractNumId w:val="20"/>
  </w:num>
  <w:num w:numId="66" w16cid:durableId="844711198">
    <w:abstractNumId w:val="34"/>
  </w:num>
  <w:num w:numId="67" w16cid:durableId="454830078">
    <w:abstractNumId w:val="28"/>
  </w:num>
  <w:num w:numId="68" w16cid:durableId="744105772">
    <w:abstractNumId w:val="47"/>
  </w:num>
  <w:num w:numId="69" w16cid:durableId="908878454">
    <w:abstractNumId w:val="7"/>
  </w:num>
  <w:num w:numId="70" w16cid:durableId="1574001924">
    <w:abstractNumId w:val="26"/>
  </w:num>
  <w:num w:numId="71" w16cid:durableId="1355154960">
    <w:abstractNumId w:val="33"/>
  </w:num>
  <w:num w:numId="72" w16cid:durableId="63335649">
    <w:abstractNumId w:val="43"/>
  </w:num>
  <w:num w:numId="73" w16cid:durableId="1104572041">
    <w:abstractNumId w:val="41"/>
  </w:num>
  <w:num w:numId="74" w16cid:durableId="1022128412">
    <w:abstractNumId w:val="64"/>
  </w:num>
  <w:num w:numId="75" w16cid:durableId="148906826">
    <w:abstractNumId w:val="83"/>
  </w:num>
  <w:num w:numId="76" w16cid:durableId="381178554">
    <w:abstractNumId w:val="44"/>
  </w:num>
  <w:num w:numId="77" w16cid:durableId="2124416032">
    <w:abstractNumId w:val="78"/>
  </w:num>
  <w:num w:numId="78" w16cid:durableId="1835757643">
    <w:abstractNumId w:val="45"/>
  </w:num>
  <w:num w:numId="79" w16cid:durableId="1796409226">
    <w:abstractNumId w:val="57"/>
  </w:num>
  <w:num w:numId="80" w16cid:durableId="1792437148">
    <w:abstractNumId w:val="10"/>
  </w:num>
  <w:num w:numId="81" w16cid:durableId="1615944853">
    <w:abstractNumId w:val="8"/>
  </w:num>
  <w:num w:numId="82" w16cid:durableId="546718228">
    <w:abstractNumId w:val="48"/>
  </w:num>
  <w:num w:numId="83" w16cid:durableId="444420847">
    <w:abstractNumId w:val="62"/>
  </w:num>
  <w:num w:numId="84" w16cid:durableId="398478284">
    <w:abstractNumId w:val="16"/>
  </w:num>
  <w:num w:numId="85" w16cid:durableId="1822455845">
    <w:abstractNumId w:val="6"/>
  </w:num>
  <w:num w:numId="86" w16cid:durableId="832792138">
    <w:abstractNumId w:val="71"/>
  </w:num>
  <w:num w:numId="87" w16cid:durableId="1864201177">
    <w:abstractNumId w:val="27"/>
  </w:num>
  <w:num w:numId="88" w16cid:durableId="1181625765">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3F375C"/>
    <w:rsid w:val="003F77C7"/>
    <w:rsid w:val="00402638"/>
    <w:rsid w:val="00405092"/>
    <w:rsid w:val="00406F8B"/>
    <w:rsid w:val="004076CF"/>
    <w:rsid w:val="00410872"/>
    <w:rsid w:val="0041336F"/>
    <w:rsid w:val="00414973"/>
    <w:rsid w:val="00415997"/>
    <w:rsid w:val="0041645E"/>
    <w:rsid w:val="00417FC9"/>
    <w:rsid w:val="00422564"/>
    <w:rsid w:val="004229B4"/>
    <w:rsid w:val="00426462"/>
    <w:rsid w:val="004312F7"/>
    <w:rsid w:val="004314BC"/>
    <w:rsid w:val="00433811"/>
    <w:rsid w:val="004346AB"/>
    <w:rsid w:val="00434E5C"/>
    <w:rsid w:val="004371C8"/>
    <w:rsid w:val="00440159"/>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38B3"/>
    <w:rsid w:val="006048DC"/>
    <w:rsid w:val="006049AA"/>
    <w:rsid w:val="00604C3D"/>
    <w:rsid w:val="00611C91"/>
    <w:rsid w:val="0061243D"/>
    <w:rsid w:val="0061371A"/>
    <w:rsid w:val="006162B4"/>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E0E57"/>
    <w:rsid w:val="009E16AA"/>
    <w:rsid w:val="009E2F96"/>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52F0"/>
    <w:rsid w:val="00A40114"/>
    <w:rsid w:val="00A41EE3"/>
    <w:rsid w:val="00A42B01"/>
    <w:rsid w:val="00A440B9"/>
    <w:rsid w:val="00A466DA"/>
    <w:rsid w:val="00A46C64"/>
    <w:rsid w:val="00A52500"/>
    <w:rsid w:val="00A53D85"/>
    <w:rsid w:val="00A55C8C"/>
    <w:rsid w:val="00A60EAB"/>
    <w:rsid w:val="00A67DF6"/>
    <w:rsid w:val="00A73F87"/>
    <w:rsid w:val="00A75EFF"/>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D6C4E"/>
    <w:rsid w:val="00AD7FF0"/>
    <w:rsid w:val="00AE0162"/>
    <w:rsid w:val="00AE0234"/>
    <w:rsid w:val="00AE28BA"/>
    <w:rsid w:val="00AE338C"/>
    <w:rsid w:val="00AE4313"/>
    <w:rsid w:val="00AF04C4"/>
    <w:rsid w:val="00AF0E18"/>
    <w:rsid w:val="00AF1286"/>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B9D"/>
    <w:rsid w:val="00C2319A"/>
    <w:rsid w:val="00C24DFE"/>
    <w:rsid w:val="00C25A1F"/>
    <w:rsid w:val="00C273F2"/>
    <w:rsid w:val="00C27C5E"/>
    <w:rsid w:val="00C30780"/>
    <w:rsid w:val="00C31E5B"/>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0C3"/>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73265"/>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A2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3264</TotalTime>
  <Pages>4</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546</cp:revision>
  <dcterms:created xsi:type="dcterms:W3CDTF">2022-04-11T01:34:00Z</dcterms:created>
  <dcterms:modified xsi:type="dcterms:W3CDTF">2025-11-06T20:03:00Z</dcterms:modified>
</cp:coreProperties>
</file>